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1.jpeg" ContentType="image/jpeg"/>
  <Override PartName="/word/media/image2.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word/footer2.xml" ContentType="application/vnd.openxmlformats-officedocument.wordprocessingml.footer+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2"/>
        <w:jc w:val="right"/>
      </w:pPr>
      <w:r>
        <w:rPr>
          <w:rFonts w:ascii="Calibri" w:eastAsia="Calibri" w:hAnsi="Calibri"/>
          <w:b w:val="false"/>
          <w:bCs/>
          <w:color w:val="00000A"/>
          <w:sz w:val="23"/>
          <w:szCs w:val="23"/>
          <w:lang w:val="pl-PL"/>
        </w:rPr>
        <w:t>Znak sprawy: NPN-ZUP-POIS/370/271-5/13</w:t>
      </w:r>
    </w:p>
    <w:p>
      <w:pPr>
        <w:pStyle w:val="style2"/>
        <w:jc w:val="center"/>
      </w:pPr>
      <w:r>
        <w:rPr/>
      </w:r>
    </w:p>
    <w:p>
      <w:pPr>
        <w:pStyle w:val="style2"/>
        <w:jc w:val="center"/>
      </w:pPr>
      <w:r>
        <w:rPr>
          <w:rFonts w:ascii="Calibri" w:cs="Tahoma" w:hAnsi="Calibri"/>
          <w:lang w:val="pl-PL"/>
        </w:rPr>
        <w:t>Specyfikacja Istotnych Warunków Zamówienia</w:t>
      </w:r>
    </w:p>
    <w:p>
      <w:pPr>
        <w:pStyle w:val="style0"/>
        <w:jc w:val="center"/>
      </w:pPr>
      <w:r>
        <w:rPr/>
      </w:r>
    </w:p>
    <w:p>
      <w:pPr>
        <w:pStyle w:val="style1"/>
        <w:jc w:val="left"/>
      </w:pPr>
      <w:r>
        <w:rPr>
          <w:rFonts w:ascii="Calibri" w:cs="Tahoma" w:hAnsi="Calibri"/>
          <w:sz w:val="24"/>
          <w:lang w:val="pl-PL"/>
        </w:rPr>
        <w:t>NARWIAŃSKI PARK NARODOWY</w:t>
      </w:r>
    </w:p>
    <w:p>
      <w:pPr>
        <w:pStyle w:val="style0"/>
      </w:pPr>
      <w:r>
        <w:rPr>
          <w:rFonts w:ascii="Calibri" w:cs="Tahoma" w:hAnsi="Calibri"/>
          <w:b/>
          <w:lang w:val="pl-PL"/>
        </w:rPr>
        <w:t xml:space="preserve">Kurowo 10 </w:t>
      </w:r>
    </w:p>
    <w:p>
      <w:pPr>
        <w:pStyle w:val="style0"/>
      </w:pPr>
      <w:r>
        <w:rPr>
          <w:rFonts w:ascii="Calibri" w:cs="Tahoma" w:hAnsi="Calibri"/>
          <w:b/>
          <w:lang w:val="pl-PL"/>
        </w:rPr>
        <w:t xml:space="preserve">18-204 Kobylin Borzymy </w:t>
      </w:r>
    </w:p>
    <w:p>
      <w:pPr>
        <w:pStyle w:val="style0"/>
        <w:ind w:hanging="0" w:left="60" w:right="0"/>
      </w:pPr>
      <w:r>
        <w:rPr>
          <w:rFonts w:ascii="Calibri" w:cs="Tahoma" w:hAnsi="Calibri"/>
          <w:b/>
          <w:lang w:val="pl-PL"/>
        </w:rPr>
        <w:t>tel./fax 85 718 14 17, 86 476 48 11-12</w:t>
      </w:r>
    </w:p>
    <w:p>
      <w:pPr>
        <w:pStyle w:val="style0"/>
        <w:ind w:hanging="0" w:left="60" w:right="0"/>
      </w:pPr>
      <w:r>
        <w:rPr>
          <w:rFonts w:ascii="Calibri" w:cs="Tahoma" w:hAnsi="Calibri"/>
          <w:b/>
          <w:u w:val="single"/>
          <w:lang w:val="pl-PL"/>
        </w:rPr>
        <w:t>www.npn.pl</w:t>
      </w:r>
    </w:p>
    <w:p>
      <w:pPr>
        <w:pStyle w:val="style0"/>
        <w:ind w:hanging="0" w:left="60" w:right="0"/>
      </w:pPr>
      <w:r>
        <w:rPr>
          <w:rFonts w:ascii="Calibri" w:cs="Tahoma" w:hAnsi="Calibri"/>
          <w:b/>
          <w:lang w:val="pl-PL"/>
        </w:rPr>
        <w:t>e-mail: npn@npn.pl</w:t>
      </w:r>
    </w:p>
    <w:p>
      <w:pPr>
        <w:pStyle w:val="style0"/>
        <w:jc w:val="center"/>
      </w:pPr>
      <w:r>
        <w:rPr/>
      </w:r>
    </w:p>
    <w:p>
      <w:pPr>
        <w:pStyle w:val="style0"/>
        <w:keepLines/>
        <w:jc w:val="both"/>
      </w:pPr>
      <w:r>
        <w:rPr>
          <w:rFonts w:ascii="Calibri" w:cs="Tahoma" w:hAnsi="Calibri"/>
          <w:lang w:val="pl-PL"/>
        </w:rPr>
        <w:t xml:space="preserve">zwany dalej ZAMAWIAJĄCYM, zaprasza do składania ofert w trybie przetargu nieograniczonego zgodnie z art. 39 ustawy z dnia 29 stycznia 2004 r. Prawo zamówień publicznych </w:t>
      </w:r>
      <w:r>
        <w:rPr>
          <w:rFonts w:ascii="Calibri" w:hAnsi="Calibri"/>
          <w:lang w:val="pl-PL"/>
        </w:rPr>
        <w:t xml:space="preserve">(Dz.U. z 2010 r. Nr 113, poz. 759 z późn. zm.) </w:t>
      </w:r>
      <w:r>
        <w:rPr>
          <w:rFonts w:ascii="Calibri" w:cs="Tahoma" w:hAnsi="Calibri"/>
          <w:lang w:val="pl-PL"/>
        </w:rPr>
        <w:t>na:</w:t>
      </w:r>
    </w:p>
    <w:p>
      <w:pPr>
        <w:pStyle w:val="style0"/>
      </w:pPr>
      <w:r>
        <w:rPr/>
      </w:r>
    </w:p>
    <w:p>
      <w:pPr>
        <w:pStyle w:val="style0"/>
        <w:jc w:val="center"/>
      </w:pPr>
      <w:r>
        <w:rPr>
          <w:rFonts w:ascii="Calibri" w:hAnsi="Calibri"/>
          <w:b/>
          <w:color w:val="000000"/>
          <w:sz w:val="27"/>
          <w:szCs w:val="27"/>
          <w:shd w:fill="FFFFFF" w:val="clear"/>
          <w:lang w:val="pl-PL"/>
        </w:rPr>
        <w:t>MODERNIZACJA WYBRANYCH OBIEKTÓW INFRASTRUKTURY TURYSTYCZNEJ NA OBSZARZE NATURA 2000 BAGIENNA DOLINA NARWI PLB 200001</w:t>
      </w:r>
    </w:p>
    <w:p>
      <w:pPr>
        <w:pStyle w:val="style0"/>
        <w:jc w:val="center"/>
      </w:pPr>
      <w:r>
        <w:rPr/>
      </w:r>
    </w:p>
    <w:p>
      <w:pPr>
        <w:pStyle w:val="style0"/>
        <w:jc w:val="center"/>
      </w:pPr>
      <w:r>
        <w:rPr/>
      </w:r>
    </w:p>
    <w:p>
      <w:pPr>
        <w:pStyle w:val="style48"/>
        <w:numPr>
          <w:ilvl w:val="0"/>
          <w:numId w:val="37"/>
        </w:numPr>
        <w:jc w:val="both"/>
      </w:pPr>
      <w:r>
        <w:rPr>
          <w:rFonts w:ascii="Calibri" w:cs="Tahoma" w:hAnsi="Calibri"/>
          <w:b/>
          <w:lang w:val="pl-PL"/>
        </w:rPr>
        <w:t>OPIS PRZEDMIOTU ZAMÓWIENIA</w:t>
      </w:r>
    </w:p>
    <w:p>
      <w:pPr>
        <w:pStyle w:val="style0"/>
        <w:jc w:val="both"/>
      </w:pPr>
      <w:r>
        <w:rPr>
          <w:rFonts w:ascii="Calibri" w:cs="Tahoma" w:hAnsi="Calibri"/>
          <w:b/>
          <w:lang w:val="pl-PL"/>
        </w:rPr>
        <w:t>1. Modernizacja ścieżki przyrodniczej "Kładka wśród bagien" w Kurowie na działce o nr geod. 4/2, obręb ew. Kurowo, gm. Kobylin Borzymy. Zadanie obejmuje:</w:t>
      </w:r>
    </w:p>
    <w:p>
      <w:pPr>
        <w:pStyle w:val="style48"/>
        <w:numPr>
          <w:ilvl w:val="0"/>
          <w:numId w:val="33"/>
        </w:numPr>
        <w:jc w:val="both"/>
      </w:pPr>
      <w:r>
        <w:rPr>
          <w:rFonts w:ascii="Calibri" w:cs="Tahoma" w:hAnsi="Calibri"/>
          <w:lang w:val="pl-PL"/>
        </w:rPr>
        <w:t>wymianę uszkodzonych elementów drewnianych kładki edukacyjnej (podłoga, poręcze, słupy podtrzymujące);</w:t>
      </w:r>
    </w:p>
    <w:p>
      <w:pPr>
        <w:pStyle w:val="style48"/>
        <w:numPr>
          <w:ilvl w:val="0"/>
          <w:numId w:val="33"/>
        </w:numPr>
        <w:jc w:val="both"/>
      </w:pPr>
      <w:r>
        <w:rPr>
          <w:rFonts w:ascii="Calibri" w:cs="Tahoma" w:hAnsi="Calibri"/>
          <w:lang w:val="pl-PL"/>
        </w:rPr>
        <w:t>poprawienie podjazdów dla osób niepełnosprawnych na kładkę edukacyją;</w:t>
      </w:r>
    </w:p>
    <w:p>
      <w:pPr>
        <w:pStyle w:val="style48"/>
        <w:numPr>
          <w:ilvl w:val="0"/>
          <w:numId w:val="33"/>
        </w:numPr>
        <w:jc w:val="both"/>
      </w:pPr>
      <w:r>
        <w:rPr>
          <w:rFonts w:ascii="Calibri" w:cs="Tahoma" w:hAnsi="Calibri"/>
          <w:lang w:val="pl-PL"/>
        </w:rPr>
        <w:t>utwardzenie dróg dojściowych żwirem z opaską faszynową i kamieniem polnym;</w:t>
      </w:r>
    </w:p>
    <w:p>
      <w:pPr>
        <w:pStyle w:val="style48"/>
        <w:numPr>
          <w:ilvl w:val="0"/>
          <w:numId w:val="33"/>
        </w:numPr>
        <w:jc w:val="both"/>
      </w:pPr>
      <w:r>
        <w:rPr>
          <w:rFonts w:ascii="Calibri" w:cs="Tahoma" w:hAnsi="Calibri"/>
          <w:lang w:val="pl-PL"/>
        </w:rPr>
        <w:t>założenie stalowej siatki antypoślizgowej na kładce edukacyjnej;</w:t>
      </w:r>
    </w:p>
    <w:p>
      <w:pPr>
        <w:pStyle w:val="style48"/>
        <w:numPr>
          <w:ilvl w:val="0"/>
          <w:numId w:val="33"/>
        </w:numPr>
        <w:jc w:val="both"/>
      </w:pPr>
      <w:r>
        <w:rPr>
          <w:rFonts w:ascii="Calibri" w:cs="Tahoma" w:hAnsi="Calibri"/>
          <w:lang w:val="pl-PL"/>
        </w:rPr>
        <w:t>wykonanie i ustawienie 10 szt. drogowskazów do obiektów infrastruktury turystycznej na posesji Narwiańskiego Parku Narodowego w Kurowie wg wzoru stanowiącego załącznik nr 5 do SIWZ;</w:t>
      </w:r>
    </w:p>
    <w:p>
      <w:pPr>
        <w:pStyle w:val="style48"/>
        <w:numPr>
          <w:ilvl w:val="0"/>
          <w:numId w:val="33"/>
        </w:numPr>
        <w:jc w:val="both"/>
      </w:pPr>
      <w:r>
        <w:rPr>
          <w:rFonts w:ascii="Calibri" w:cs="Tahoma" w:hAnsi="Calibri"/>
          <w:lang w:val="pl-PL"/>
        </w:rPr>
        <w:t>wykonanie i wymiana 10 szt. kolorowych plansz o wymiarach 125x150 cm na istniejących w terenie tablicach informacyjnych. Treść merytoryczna plansz oraz zdjęcia dostarczone zostaną przez Zamawiającego;</w:t>
      </w:r>
    </w:p>
    <w:p>
      <w:pPr>
        <w:pStyle w:val="style0"/>
        <w:ind w:hanging="0" w:left="360" w:right="0"/>
        <w:jc w:val="both"/>
      </w:pPr>
      <w:r>
        <w:rPr>
          <w:rFonts w:ascii="Calibri" w:cs="Tahoma" w:hAnsi="Calibri"/>
          <w:b/>
          <w:lang w:val="pl-PL"/>
        </w:rPr>
        <w:t>Szczegóły dotyczące zakresu planowanych prac, powierzchni, ilości i innych danych niezbędnych do wyceny znajdują się w przedmiarze robót stanowiącym załącznik nr 4 A, do SIWZ)</w:t>
      </w:r>
    </w:p>
    <w:p>
      <w:pPr>
        <w:pStyle w:val="style0"/>
        <w:jc w:val="both"/>
      </w:pPr>
      <w:r>
        <w:rPr/>
      </w:r>
    </w:p>
    <w:p>
      <w:pPr>
        <w:pStyle w:val="style48"/>
        <w:numPr>
          <w:ilvl w:val="0"/>
          <w:numId w:val="39"/>
        </w:numPr>
        <w:jc w:val="both"/>
      </w:pPr>
      <w:r>
        <w:rPr>
          <w:rFonts w:ascii="Calibri" w:cs="Tahoma" w:hAnsi="Calibri"/>
          <w:b/>
          <w:lang w:val="pl-PL"/>
        </w:rPr>
        <w:t>Modernizacja wieży widokowej w Kurowie na działce o nr geod. 4/3, obręb ew. Kurowo, gm. Kobylin Borzymy. Zadanie obejmuje:</w:t>
      </w:r>
    </w:p>
    <w:p>
      <w:pPr>
        <w:pStyle w:val="style48"/>
        <w:numPr>
          <w:ilvl w:val="0"/>
          <w:numId w:val="34"/>
        </w:numPr>
        <w:jc w:val="both"/>
      </w:pPr>
      <w:r>
        <w:rPr>
          <w:rFonts w:ascii="Calibri" w:cs="Tahoma" w:hAnsi="Calibri"/>
          <w:lang w:val="pl-PL"/>
        </w:rPr>
        <w:t>wymianę uszkodzonych elementów drewnianych - schody, słupy podtrzymujące, deski podłogowe, barierki, poręcze.</w:t>
      </w:r>
    </w:p>
    <w:p>
      <w:pPr>
        <w:pStyle w:val="style48"/>
        <w:numPr>
          <w:ilvl w:val="0"/>
          <w:numId w:val="34"/>
        </w:numPr>
        <w:jc w:val="both"/>
      </w:pPr>
      <w:r>
        <w:rPr>
          <w:rFonts w:ascii="Calibri" w:cs="Tahoma" w:hAnsi="Calibri"/>
          <w:lang w:val="pl-PL"/>
        </w:rPr>
        <w:t>wymianę w całości pokrycia dachowego wieży widokowej na 12-to warstwowy wiór osikowy.</w:t>
      </w:r>
    </w:p>
    <w:p>
      <w:pPr>
        <w:pStyle w:val="style0"/>
        <w:ind w:hanging="0" w:left="360" w:right="0"/>
        <w:jc w:val="both"/>
      </w:pPr>
      <w:r>
        <w:rPr>
          <w:rFonts w:ascii="Calibri" w:cs="Tahoma" w:hAnsi="Calibri"/>
          <w:b/>
          <w:lang w:val="pl-PL"/>
        </w:rPr>
        <w:t>Szczegóły dotyczące zakresu planowanych prac, powierzchni, ilości i innych danych niezbędnych do wyceny znajdują się w przedmiarze robót stanowiącym załącznik nr 4 A do SIWZ)</w:t>
      </w:r>
    </w:p>
    <w:p>
      <w:pPr>
        <w:pStyle w:val="style0"/>
        <w:jc w:val="both"/>
      </w:pPr>
      <w:r>
        <w:rPr/>
      </w:r>
    </w:p>
    <w:p>
      <w:pPr>
        <w:pStyle w:val="style48"/>
        <w:numPr>
          <w:ilvl w:val="0"/>
          <w:numId w:val="39"/>
        </w:numPr>
        <w:jc w:val="both"/>
      </w:pPr>
      <w:r>
        <w:rPr>
          <w:rFonts w:ascii="Calibri" w:cs="Tahoma" w:hAnsi="Calibri"/>
          <w:b/>
          <w:lang w:val="pl-PL"/>
        </w:rPr>
        <w:t>Modernizacja wieży widokowej w Kolonii Topilec na działce o nr geod. 554, obręb ew. Kolonia Topilec, gm. Turośń Kościelna. Zadanie obejmuje:</w:t>
      </w:r>
    </w:p>
    <w:p>
      <w:pPr>
        <w:pStyle w:val="style48"/>
        <w:numPr>
          <w:ilvl w:val="0"/>
          <w:numId w:val="35"/>
        </w:numPr>
        <w:jc w:val="both"/>
      </w:pPr>
      <w:r>
        <w:rPr>
          <w:rFonts w:ascii="Calibri" w:cs="Tahoma" w:hAnsi="Calibri"/>
          <w:lang w:val="pl-PL"/>
        </w:rPr>
        <w:t>rozbiórkę i wymianę uszkodzonych elementów drewnianych - schody, słupy podtrzymujące, deski podłogowe, barierki, poręcze</w:t>
      </w:r>
    </w:p>
    <w:p>
      <w:pPr>
        <w:pStyle w:val="style48"/>
        <w:numPr>
          <w:ilvl w:val="0"/>
          <w:numId w:val="35"/>
        </w:numPr>
        <w:jc w:val="both"/>
      </w:pPr>
      <w:r>
        <w:rPr>
          <w:rFonts w:ascii="Calibri" w:cs="Tahoma" w:hAnsi="Calibri"/>
          <w:lang w:val="pl-PL"/>
        </w:rPr>
        <w:t>wymianę w całości pokrycia dachowego wieży widokowej na 12-to warstwowy wiór osikowy.</w:t>
      </w:r>
    </w:p>
    <w:p>
      <w:pPr>
        <w:pStyle w:val="style0"/>
        <w:ind w:hanging="0" w:left="360" w:right="0"/>
        <w:jc w:val="both"/>
      </w:pPr>
      <w:r>
        <w:rPr>
          <w:rFonts w:ascii="Calibri" w:cs="Tahoma" w:hAnsi="Calibri"/>
          <w:b/>
          <w:lang w:val="pl-PL"/>
        </w:rPr>
        <w:t>Szczegóły dotyczące zakresu planowanych prac, powierzchni, ilości i innych danych niezbędnych do wyceny znajdują się w przedmiarze robót stanowiącym załącznik nr 4 B do SIWZ)</w:t>
      </w:r>
    </w:p>
    <w:p>
      <w:pPr>
        <w:pStyle w:val="style0"/>
        <w:jc w:val="both"/>
      </w:pPr>
      <w:r>
        <w:rPr/>
      </w:r>
    </w:p>
    <w:p>
      <w:pPr>
        <w:pStyle w:val="style0"/>
        <w:numPr>
          <w:ilvl w:val="0"/>
          <w:numId w:val="39"/>
        </w:numPr>
        <w:jc w:val="both"/>
      </w:pPr>
      <w:r>
        <w:rPr>
          <w:rFonts w:ascii="Calibri" w:cs="Tahoma" w:hAnsi="Calibri"/>
          <w:b/>
          <w:lang w:val="pl-PL"/>
        </w:rPr>
        <w:t>Modernizacja pola biwakowego w Kolonii Topilec na działce o nr geod. 554, obręb ew. Kolonia Topilec, gm. Turośń Kościelna. Zadanie obejmuje:</w:t>
      </w:r>
    </w:p>
    <w:p>
      <w:pPr>
        <w:pStyle w:val="style48"/>
        <w:numPr>
          <w:ilvl w:val="0"/>
          <w:numId w:val="36"/>
        </w:numPr>
        <w:jc w:val="both"/>
      </w:pPr>
      <w:r>
        <w:rPr>
          <w:rFonts w:ascii="Calibri" w:cs="Tahoma" w:hAnsi="Calibri"/>
          <w:lang w:val="pl-PL"/>
        </w:rPr>
        <w:t>remont wiaty: wymianę uszkodzonych elementów drewnianych, wymiana obicia ścian; pokrycie wiaty w całości 12-to warstwowym wiórem osikowym.</w:t>
      </w:r>
    </w:p>
    <w:p>
      <w:pPr>
        <w:pStyle w:val="style48"/>
        <w:numPr>
          <w:ilvl w:val="0"/>
          <w:numId w:val="36"/>
        </w:numPr>
        <w:jc w:val="both"/>
      </w:pPr>
      <w:r>
        <w:rPr>
          <w:rFonts w:ascii="Calibri" w:cs="Tahoma" w:hAnsi="Calibri"/>
          <w:lang w:val="pl-PL"/>
        </w:rPr>
        <w:t>remont bramy wjazdowej: wykonanie stóp fundamentowych, wymianę konstrukcji drewnianej, wymianę deskowania zadaszenia bramy i pokrycie go w całości 12-to warstwowym wiórem osikowym.</w:t>
      </w:r>
    </w:p>
    <w:p>
      <w:pPr>
        <w:pStyle w:val="style48"/>
        <w:numPr>
          <w:ilvl w:val="0"/>
          <w:numId w:val="36"/>
        </w:numPr>
        <w:jc w:val="both"/>
      </w:pPr>
      <w:r>
        <w:rPr>
          <w:rFonts w:ascii="Calibri" w:cs="Tahoma" w:hAnsi="Calibri"/>
          <w:lang w:val="pl-PL"/>
        </w:rPr>
        <w:t>wykonanie tablicy informacyjnej: konstrukcja drewniana wsparta na stopach żelbetonowych, pokrycie 12-to warstwowym wiórem osikowym.</w:t>
      </w:r>
    </w:p>
    <w:p>
      <w:pPr>
        <w:pStyle w:val="style48"/>
        <w:numPr>
          <w:ilvl w:val="0"/>
          <w:numId w:val="36"/>
        </w:numPr>
        <w:jc w:val="both"/>
      </w:pPr>
      <w:r>
        <w:rPr>
          <w:rFonts w:ascii="Calibri" w:cs="Tahoma" w:hAnsi="Calibri"/>
          <w:lang w:val="pl-PL"/>
        </w:rPr>
        <w:t>wykonanie paleniska na fundamencie żelbetowym z wieńcem z kamienia polnego oraz 4 szt. ławek drewnanych</w:t>
      </w:r>
    </w:p>
    <w:p>
      <w:pPr>
        <w:pStyle w:val="style48"/>
        <w:numPr>
          <w:ilvl w:val="0"/>
          <w:numId w:val="36"/>
        </w:numPr>
        <w:jc w:val="both"/>
      </w:pPr>
      <w:r>
        <w:rPr>
          <w:rFonts w:ascii="Calibri" w:cs="Tahoma" w:hAnsi="Calibri"/>
          <w:lang w:val="pl-PL"/>
        </w:rPr>
        <w:t>wykonanie ogrodzenie z elementów drewnianych,</w:t>
      </w:r>
    </w:p>
    <w:p>
      <w:pPr>
        <w:pStyle w:val="style0"/>
        <w:ind w:hanging="0" w:left="360" w:right="0"/>
        <w:jc w:val="both"/>
      </w:pPr>
      <w:r>
        <w:rPr>
          <w:rFonts w:ascii="Calibri" w:cs="Tahoma" w:hAnsi="Calibri"/>
          <w:b/>
          <w:lang w:val="pl-PL"/>
        </w:rPr>
        <w:t>Szczegóły dotyczące zakresu planowanych prac, powierzchni, ilości i innych danych niezbędnych do wyceny znajdują się w przedmiarze robót stanowiącym załącznik nr 4 B do SIWZ)</w:t>
      </w:r>
    </w:p>
    <w:p>
      <w:pPr>
        <w:pStyle w:val="style0"/>
        <w:jc w:val="both"/>
      </w:pPr>
      <w:r>
        <w:rPr/>
      </w:r>
    </w:p>
    <w:p>
      <w:pPr>
        <w:pStyle w:val="style0"/>
        <w:numPr>
          <w:ilvl w:val="0"/>
          <w:numId w:val="37"/>
        </w:numPr>
      </w:pPr>
      <w:r>
        <w:rPr>
          <w:rFonts w:ascii="Calibri" w:cs="Tahoma" w:hAnsi="Calibri"/>
          <w:b/>
          <w:sz w:val="22"/>
          <w:lang w:val="pl-PL"/>
        </w:rPr>
        <w:t>ZAMÓWIENIE BĘDZIE REALIZOWANE POD KODAMI WSPÓLNEGO SŁOWNIKA ZAMÓWIEŃ:</w:t>
      </w:r>
    </w:p>
    <w:p>
      <w:pPr>
        <w:pStyle w:val="style0"/>
        <w:ind w:hanging="0" w:left="720" w:right="0"/>
      </w:pPr>
      <w:r>
        <w:rPr/>
      </w:r>
    </w:p>
    <w:p>
      <w:pPr>
        <w:pStyle w:val="style0"/>
        <w:ind w:hanging="0" w:left="720" w:right="0"/>
      </w:pPr>
      <w:r>
        <w:rPr>
          <w:rFonts w:ascii="Calibri" w:cs="Tahoma" w:hAnsi="Calibri"/>
          <w:lang w:val="pl-PL"/>
        </w:rPr>
        <w:t>45000000-7 – Roboty budowlane</w:t>
      </w:r>
    </w:p>
    <w:p>
      <w:pPr>
        <w:pStyle w:val="style0"/>
        <w:ind w:hanging="0" w:left="720" w:right="0"/>
      </w:pPr>
      <w:r>
        <w:rPr/>
      </w:r>
    </w:p>
    <w:p>
      <w:pPr>
        <w:pStyle w:val="style48"/>
        <w:numPr>
          <w:ilvl w:val="0"/>
          <w:numId w:val="37"/>
        </w:numPr>
      </w:pPr>
      <w:r>
        <w:rPr>
          <w:rFonts w:ascii="Calibri" w:cs="Tahoma" w:hAnsi="Calibri"/>
          <w:b/>
          <w:sz w:val="22"/>
          <w:lang w:val="pl-PL"/>
        </w:rPr>
        <w:t>WYMAGANY TERMIN REALIZACJI ZAMÓWIENIA</w:t>
      </w:r>
    </w:p>
    <w:p>
      <w:pPr>
        <w:pStyle w:val="style0"/>
        <w:ind w:hanging="0" w:left="1080" w:right="0"/>
      </w:pPr>
      <w:r>
        <w:rPr/>
      </w:r>
    </w:p>
    <w:p>
      <w:pPr>
        <w:pStyle w:val="style0"/>
        <w:jc w:val="both"/>
      </w:pPr>
      <w:r>
        <w:rPr>
          <w:rFonts w:ascii="Calibri" w:cs="Tahoma" w:hAnsi="Calibri"/>
          <w:lang w:val="pl-PL"/>
        </w:rPr>
        <w:t>Zamawiający ustala wykonanie całości zamówienia w nieprzekraczalnym terminie:</w:t>
      </w:r>
    </w:p>
    <w:p>
      <w:pPr>
        <w:pStyle w:val="style0"/>
        <w:ind w:hanging="0" w:left="360" w:right="0"/>
      </w:pPr>
      <w:r>
        <w:rPr>
          <w:rFonts w:ascii="Calibri" w:cs="Tahoma" w:hAnsi="Calibri"/>
          <w:lang w:val="pl-PL"/>
        </w:rPr>
        <w:t xml:space="preserve">     </w:t>
      </w:r>
      <w:r>
        <w:rPr>
          <w:rFonts w:ascii="Calibri" w:cs="Tahoma" w:hAnsi="Calibri"/>
          <w:lang w:val="pl-PL"/>
        </w:rPr>
        <w:t xml:space="preserve">- </w:t>
      </w:r>
      <w:r>
        <w:rPr>
          <w:rFonts w:ascii="Calibri" w:cs="Tahoma" w:hAnsi="Calibri"/>
          <w:b/>
          <w:lang w:val="pl-PL"/>
        </w:rPr>
        <w:t>do 30.11.2013 roku.</w:t>
      </w:r>
    </w:p>
    <w:p>
      <w:pPr>
        <w:pStyle w:val="style39"/>
        <w:tabs>
          <w:tab w:leader="none" w:pos="360" w:val="left"/>
          <w:tab w:leader="none" w:pos="4536" w:val="center"/>
          <w:tab w:leader="none" w:pos="9072" w:val="right"/>
        </w:tabs>
      </w:pPr>
      <w:r>
        <w:rPr/>
      </w:r>
    </w:p>
    <w:p>
      <w:pPr>
        <w:pStyle w:val="style0"/>
        <w:numPr>
          <w:ilvl w:val="0"/>
          <w:numId w:val="37"/>
        </w:numPr>
        <w:jc w:val="both"/>
      </w:pPr>
      <w:r>
        <w:rPr>
          <w:rFonts w:ascii="Calibri" w:cs="Tahoma" w:hAnsi="Calibri"/>
          <w:b/>
          <w:lang w:val="pl-PL"/>
        </w:rPr>
        <w:t xml:space="preserve">OPIS SPOSOBU OBLICZENIA CENY </w:t>
      </w:r>
    </w:p>
    <w:p>
      <w:pPr>
        <w:pStyle w:val="style0"/>
        <w:jc w:val="both"/>
      </w:pPr>
      <w:r>
        <w:rPr/>
      </w:r>
    </w:p>
    <w:p>
      <w:pPr>
        <w:pStyle w:val="style0"/>
        <w:numPr>
          <w:ilvl w:val="0"/>
          <w:numId w:val="11"/>
        </w:numPr>
        <w:tabs>
          <w:tab w:leader="none" w:pos="360" w:val="left"/>
        </w:tabs>
        <w:jc w:val="both"/>
      </w:pPr>
      <w:r>
        <w:rPr>
          <w:rFonts w:ascii="Calibri" w:cs="Tahoma" w:hAnsi="Calibri"/>
          <w:lang w:val="pl-PL"/>
        </w:rPr>
        <w:t>Cena oferty powinna obejmować pełny zakres robót budowlanych określonych w rozdziale I, zawierać wszystkie elementy niezbędne do wykonania przedmiotu zamówienia i uwzględniać wszystkie koszty związane z wykonaniem przedmiotu zamówienia – zgodnie z dokumentacją projektową.</w:t>
      </w:r>
    </w:p>
    <w:p>
      <w:pPr>
        <w:pStyle w:val="style0"/>
        <w:numPr>
          <w:ilvl w:val="0"/>
          <w:numId w:val="11"/>
        </w:numPr>
        <w:spacing w:line="276" w:lineRule="auto"/>
      </w:pPr>
      <w:r>
        <w:rPr>
          <w:rFonts w:ascii="Calibri" w:hAnsi="Calibri"/>
          <w:color w:val="00000A"/>
        </w:rPr>
        <w:t>Wykonawca określa cenę realizacji zamówienia poprzez wskazanie w formularzu oferty (załącznik nr 1 do SIWZ) ceny brutto oferty.</w:t>
      </w:r>
    </w:p>
    <w:p>
      <w:pPr>
        <w:pStyle w:val="style0"/>
        <w:numPr>
          <w:ilvl w:val="0"/>
          <w:numId w:val="11"/>
        </w:numPr>
        <w:tabs>
          <w:tab w:leader="none" w:pos="360" w:val="left"/>
        </w:tabs>
        <w:jc w:val="both"/>
      </w:pPr>
      <w:r>
        <w:rPr>
          <w:rFonts w:ascii="Calibri" w:cs="Tahoma" w:hAnsi="Calibri"/>
          <w:lang w:val="pl-PL"/>
        </w:rPr>
        <w:t>Zamawiający wymaga złożenia kosztorysu ofertowego – kosztorys uproszczony (z obmiarem robót, ceną jednostkową pozycji, wartością pozycji).</w:t>
      </w:r>
    </w:p>
    <w:p>
      <w:pPr>
        <w:pStyle w:val="style0"/>
        <w:numPr>
          <w:ilvl w:val="0"/>
          <w:numId w:val="11"/>
        </w:numPr>
        <w:spacing w:line="276" w:lineRule="auto"/>
      </w:pPr>
      <w:r>
        <w:rPr>
          <w:rFonts w:ascii="Calibri" w:hAnsi="Calibri"/>
          <w:color w:val="00000A"/>
        </w:rPr>
        <w:t xml:space="preserve">Stawka podatku VAT jest określana zgodnie z ustawą z dnia 11 marca 2004 r. o podatku od towarów i usług (Dz. U. z 2004 r., Nr 54, poz. 535 z późn. zm). </w:t>
      </w:r>
    </w:p>
    <w:p>
      <w:pPr>
        <w:pStyle w:val="style0"/>
        <w:numPr>
          <w:ilvl w:val="0"/>
          <w:numId w:val="11"/>
        </w:numPr>
        <w:tabs>
          <w:tab w:leader="none" w:pos="360" w:val="left"/>
        </w:tabs>
        <w:jc w:val="both"/>
      </w:pPr>
      <w:r>
        <w:rPr>
          <w:rFonts w:ascii="Calibri" w:cs="Tahoma" w:hAnsi="Calibri"/>
          <w:lang w:val="pl-PL"/>
        </w:rPr>
        <w:t>Dla porównania ofert zamawiający przyjmuje cenę brutto.</w:t>
      </w:r>
    </w:p>
    <w:p>
      <w:pPr>
        <w:pStyle w:val="style0"/>
        <w:ind w:hanging="0" w:left="720" w:right="0"/>
        <w:jc w:val="both"/>
      </w:pPr>
      <w:r>
        <w:rPr/>
      </w:r>
    </w:p>
    <w:p>
      <w:pPr>
        <w:pStyle w:val="style0"/>
        <w:ind w:hanging="0" w:left="720" w:right="0"/>
        <w:jc w:val="both"/>
      </w:pPr>
      <w:r>
        <w:rPr/>
      </w:r>
    </w:p>
    <w:p>
      <w:pPr>
        <w:pStyle w:val="style3"/>
        <w:numPr>
          <w:ilvl w:val="0"/>
          <w:numId w:val="37"/>
        </w:numPr>
        <w:jc w:val="both"/>
      </w:pPr>
      <w:r>
        <w:rPr>
          <w:rFonts w:ascii="Calibri" w:cs="Tahoma" w:hAnsi="Calibri"/>
          <w:sz w:val="24"/>
          <w:szCs w:val="24"/>
          <w:lang w:val="pl-PL"/>
        </w:rPr>
        <w:t>OPIS SPOSOBU PRZYGOTOWANIA OFERTY.</w:t>
      </w:r>
    </w:p>
    <w:p>
      <w:pPr>
        <w:pStyle w:val="style0"/>
      </w:pPr>
      <w:r>
        <w:rPr/>
      </w:r>
    </w:p>
    <w:p>
      <w:pPr>
        <w:pStyle w:val="style0"/>
        <w:numPr>
          <w:ilvl w:val="0"/>
          <w:numId w:val="12"/>
        </w:numPr>
        <w:jc w:val="both"/>
      </w:pPr>
      <w:r>
        <w:rPr>
          <w:rFonts w:ascii="Calibri" w:cs="Tahoma" w:hAnsi="Calibri"/>
          <w:lang w:val="pl-PL"/>
        </w:rPr>
        <w:t>Wykonawcy muszą przedstawić treść oferty odpowiadającą treści specyfikacji istotnych warunków zamówienia.</w:t>
      </w:r>
    </w:p>
    <w:p>
      <w:pPr>
        <w:pStyle w:val="style0"/>
        <w:numPr>
          <w:ilvl w:val="0"/>
          <w:numId w:val="12"/>
        </w:numPr>
        <w:jc w:val="both"/>
      </w:pPr>
      <w:r>
        <w:rPr>
          <w:rFonts w:ascii="Calibri" w:cs="Tahoma" w:hAnsi="Calibri"/>
          <w:lang w:val="pl-PL"/>
        </w:rPr>
        <w:t>Wykonawca ma prawo złożyć tylko jedną ofertę.</w:t>
      </w:r>
    </w:p>
    <w:p>
      <w:pPr>
        <w:pStyle w:val="style0"/>
        <w:numPr>
          <w:ilvl w:val="0"/>
          <w:numId w:val="12"/>
        </w:numPr>
        <w:jc w:val="both"/>
      </w:pPr>
      <w:r>
        <w:rPr>
          <w:rFonts w:ascii="Calibri" w:cs="Tahoma" w:hAnsi="Calibri"/>
          <w:lang w:val="pl-PL"/>
        </w:rPr>
        <w:t xml:space="preserve">Oferta powinna być napisana w języku polskim, na maszynie do pisania, komputerze lub inną trwałą i czytelną techniką oraz podpisana przez osobę upoważnioną do reprezentowania firmy na zewnątrz i zaciągania zobowiązań w wysokości odpowiadającej cenie oferty. </w:t>
      </w:r>
    </w:p>
    <w:p>
      <w:pPr>
        <w:pStyle w:val="style0"/>
        <w:numPr>
          <w:ilvl w:val="0"/>
          <w:numId w:val="12"/>
        </w:numPr>
        <w:jc w:val="both"/>
      </w:pPr>
      <w:r>
        <w:rPr>
          <w:rFonts w:ascii="Calibri" w:cs="Tahoma" w:hAnsi="Calibri"/>
          <w:lang w:val="pl-PL"/>
        </w:rPr>
        <w:t>Upoważnienie do podpisania oferty powinno być dołączone do oferty, o ile upoważnienie nie wynika z innych dokumentów dołączonych do oferty. Upoważnienie (pełnomocnictwo) powinno być przedstawione w formie oryginału lub poświadczonej przez wykonawcę za zgodność z oryginałem kopii.</w:t>
      </w:r>
    </w:p>
    <w:p>
      <w:pPr>
        <w:pStyle w:val="style0"/>
        <w:numPr>
          <w:ilvl w:val="0"/>
          <w:numId w:val="12"/>
        </w:numPr>
        <w:tabs>
          <w:tab w:leader="none" w:pos="360" w:val="left"/>
        </w:tabs>
        <w:jc w:val="both"/>
      </w:pPr>
      <w:r>
        <w:rPr>
          <w:rFonts w:ascii="Calibri" w:cs="Tahoma" w:hAnsi="Calibri"/>
          <w:lang w:val="pl-PL"/>
        </w:rPr>
        <w:t>Wraz z ofertą wykonawca składa oświadczenie o spełnieniu warunków udziału w postępowaniu oraz dokumenty potwierdzające spełnienie tych warunków.</w:t>
      </w:r>
    </w:p>
    <w:p>
      <w:pPr>
        <w:pStyle w:val="style0"/>
        <w:numPr>
          <w:ilvl w:val="0"/>
          <w:numId w:val="12"/>
        </w:numPr>
        <w:jc w:val="both"/>
      </w:pPr>
      <w:r>
        <w:rPr>
          <w:rFonts w:ascii="Calibri" w:cs="Tahoma" w:hAnsi="Calibri"/>
          <w:lang w:val="pl-PL"/>
        </w:rPr>
        <w:t>Dokumenty załączone do oferty powinny być przedstawione w formie oryginału lub kserokopii potwierdzonej za zgodność z oryginałem przez wykonawcę (podpisuje osoba/osoby upoważniona do podpisywania oferty).</w:t>
      </w:r>
    </w:p>
    <w:p>
      <w:pPr>
        <w:pStyle w:val="style0"/>
        <w:numPr>
          <w:ilvl w:val="0"/>
          <w:numId w:val="12"/>
        </w:numPr>
        <w:jc w:val="both"/>
      </w:pPr>
      <w:r>
        <w:rPr>
          <w:rFonts w:ascii="Calibri" w:cs="Tahoma" w:hAnsi="Calibri"/>
          <w:lang w:val="pl-PL"/>
        </w:rPr>
        <w:t>Każda zapisana strona oferty oraz załączonych oświadczeń i dokumentów musi być ponumerowana kolejnymi numerami, a wszystkie kartki oferty muszą być spięte w sposób trwały.</w:t>
      </w:r>
    </w:p>
    <w:p>
      <w:pPr>
        <w:pStyle w:val="style0"/>
        <w:numPr>
          <w:ilvl w:val="0"/>
          <w:numId w:val="12"/>
        </w:numPr>
        <w:jc w:val="both"/>
      </w:pPr>
      <w:r>
        <w:rPr>
          <w:rFonts w:ascii="Calibri" w:cs="Tahoma" w:hAnsi="Calibri"/>
          <w:lang w:val="pl-PL"/>
        </w:rPr>
        <w:t>Wszelkie poprawki lub zmiany w tekście oferty muszą być parafowane własnoręcznie przez osobę/osoby podpisującą ofertę.</w:t>
      </w:r>
    </w:p>
    <w:p>
      <w:pPr>
        <w:pStyle w:val="style0"/>
        <w:numPr>
          <w:ilvl w:val="0"/>
          <w:numId w:val="12"/>
        </w:numPr>
        <w:jc w:val="both"/>
      </w:pPr>
      <w:r>
        <w:rPr>
          <w:rFonts w:ascii="Calibri" w:cs="Tahoma" w:hAnsi="Calibri"/>
          <w:lang w:val="pl-PL"/>
        </w:rPr>
        <w:t xml:space="preserve">Ofertę wraz z wymaganymi oświadczeniami i dokumentami Wykonawca składa w zamkniętej zewnętrznej i wewnętrznej kopercie z tym, że: </w:t>
      </w:r>
    </w:p>
    <w:p>
      <w:pPr>
        <w:pStyle w:val="style0"/>
        <w:ind w:hanging="0" w:left="720" w:right="0"/>
      </w:pPr>
      <w:r>
        <w:rPr>
          <w:rFonts w:ascii="Calibri" w:cs="Tahoma" w:hAnsi="Calibri"/>
          <w:i/>
          <w:iCs/>
          <w:lang w:val="pl-PL"/>
        </w:rPr>
        <w:t>a.)</w:t>
      </w:r>
      <w:r>
        <w:rPr>
          <w:rFonts w:ascii="Calibri" w:cs="Tahoma" w:hAnsi="Calibri"/>
          <w:lang w:val="pl-PL"/>
        </w:rPr>
        <w:t xml:space="preserve"> zewnętrzna koperta powinna być zaadresowana na Zamawiającego i zawierać oznaczenie:</w:t>
      </w:r>
    </w:p>
    <w:p>
      <w:pPr>
        <w:pStyle w:val="style7"/>
        <w:jc w:val="center"/>
      </w:pPr>
      <w:r>
        <w:rPr>
          <w:rFonts w:ascii="Calibri" w:cs="Tahoma" w:hAnsi="Calibri"/>
          <w:bCs w:val="false"/>
          <w:i/>
          <w:color w:val="00000A"/>
          <w:lang w:val="pl-PL"/>
        </w:rPr>
        <w:t>Narwiański Park Narodowy, Kurowo 10, 18-204 Kobylin Borzymy</w:t>
      </w:r>
    </w:p>
    <w:p>
      <w:pPr>
        <w:pStyle w:val="style0"/>
        <w:jc w:val="center"/>
      </w:pPr>
      <w:r>
        <w:rPr>
          <w:rFonts w:ascii="Calibri" w:cs="Tahoma" w:hAnsi="Calibri"/>
          <w:b/>
          <w:bCs/>
          <w:i/>
          <w:iCs/>
          <w:lang w:val="pl-PL"/>
        </w:rPr>
        <w:t>„</w:t>
      </w:r>
      <w:r>
        <w:rPr>
          <w:rFonts w:ascii="Calibri" w:cs="Tahoma" w:hAnsi="Calibri"/>
          <w:b/>
          <w:bCs/>
          <w:i/>
          <w:iCs/>
          <w:lang w:val="pl-PL"/>
        </w:rPr>
        <w:t>Oferta na modernizację wybranych obiektów infrastruktury turystycznej na obszarze Natura 2000 Bagienna Dolina Narwi PLB 200001</w:t>
      </w:r>
    </w:p>
    <w:p>
      <w:pPr>
        <w:pStyle w:val="style0"/>
        <w:jc w:val="center"/>
      </w:pPr>
      <w:r>
        <w:rPr>
          <w:rFonts w:ascii="Calibri" w:cs="Tahoma" w:hAnsi="Calibri"/>
          <w:iCs/>
          <w:lang w:val="pl-PL"/>
        </w:rPr>
        <w:t>oraz</w:t>
      </w:r>
      <w:r>
        <w:rPr>
          <w:rFonts w:ascii="Calibri" w:cs="Tahoma" w:hAnsi="Calibri"/>
          <w:i/>
          <w:iCs/>
          <w:lang w:val="pl-PL"/>
        </w:rPr>
        <w:t xml:space="preserve"> „</w:t>
      </w:r>
      <w:r>
        <w:rPr>
          <w:rFonts w:ascii="Calibri" w:cs="Tahoma" w:hAnsi="Calibri"/>
          <w:b/>
          <w:i/>
          <w:iCs/>
          <w:lang w:val="pl-PL"/>
        </w:rPr>
        <w:t xml:space="preserve">nie otwierać przed dniem 17 lipca 2013 r. godz. 9.30” </w:t>
      </w:r>
      <w:r>
        <w:rPr>
          <w:rFonts w:ascii="Calibri" w:hAnsi="Calibri"/>
          <w:lang w:val="pl-PL"/>
        </w:rPr>
        <w:t>- bez nazwy i pieczątki Wykonawcy</w:t>
      </w:r>
    </w:p>
    <w:p>
      <w:pPr>
        <w:pStyle w:val="style0"/>
        <w:jc w:val="center"/>
      </w:pPr>
      <w:r>
        <w:rPr/>
      </w:r>
    </w:p>
    <w:p>
      <w:pPr>
        <w:pStyle w:val="style0"/>
        <w:ind w:hanging="0" w:left="720" w:right="0"/>
      </w:pPr>
      <w:r>
        <w:rPr>
          <w:rFonts w:ascii="Calibri" w:cs="Tahoma" w:hAnsi="Calibri"/>
          <w:i/>
          <w:iCs/>
          <w:lang w:val="pl-PL"/>
        </w:rPr>
        <w:t xml:space="preserve">b.) </w:t>
      </w:r>
      <w:r>
        <w:rPr>
          <w:rFonts w:ascii="Calibri" w:cs="Tahoma" w:hAnsi="Calibri"/>
          <w:iCs/>
          <w:lang w:val="pl-PL"/>
        </w:rPr>
        <w:t>koperta wewnętrzna powinna zawierać ofertę i być zaadresowana na Wykonawcę, tak aby można ją było odesłać bez otwieraania w przypadku złożenia oferty po terminie.</w:t>
      </w:r>
    </w:p>
    <w:p>
      <w:pPr>
        <w:pStyle w:val="style0"/>
        <w:ind w:hanging="0" w:left="720" w:right="0"/>
      </w:pPr>
      <w:r>
        <w:rPr/>
      </w:r>
    </w:p>
    <w:p>
      <w:pPr>
        <w:pStyle w:val="style0"/>
        <w:jc w:val="both"/>
      </w:pPr>
      <w:r>
        <w:rPr>
          <w:rFonts w:ascii="Calibri" w:cs="Tahoma" w:hAnsi="Calibri"/>
          <w:lang w:val="pl-PL"/>
        </w:rPr>
        <w:t xml:space="preserve">Wykonawca może wprowadzić zmiany lub wycofać złożoną przez siebie ofertę pod warunkiem, że zamawiający otrzyma pisemne powiadomienie o wprowadzeniu zmian lub wycofaniu oferty przed upływem terminu składania ofert. Powiadomienie o wprowadzeniu zmian lub wycofaniu musi być złożone wg takich samych zasad jak składana oferta. Koperta powinna zostać dodatkowo oznaczona „Zmiana” lub „Wycofanie”. Wykonawca nie może wycofać oferty ani wprowadzić jakichkolwiek zmian treści oferty po upływie terminu składania ofert. </w:t>
      </w:r>
    </w:p>
    <w:p>
      <w:pPr>
        <w:pStyle w:val="style0"/>
        <w:numPr>
          <w:ilvl w:val="0"/>
          <w:numId w:val="12"/>
        </w:numPr>
        <w:jc w:val="both"/>
      </w:pPr>
      <w:r>
        <w:rPr>
          <w:rFonts w:ascii="Calibri" w:cs="Tahoma" w:hAnsi="Calibri"/>
          <w:lang w:val="pl-PL"/>
        </w:rPr>
        <w:t>Oferty, oraz wszelkie oświadczenia i zaświadczenia dołączone do niej są jawne w trybie art. 96 ust. 3 ustawy, z wyjątkiem informacji stanowiących tajemnicę przedsiębiorstwa w rozumieniu przepisów o zwalczaniu nieuczciwej konkurencji, a wykonawca składając ofertę zastrzegł w odniesieniu do tych informacji, że nie mogą być one udostępnione.</w:t>
      </w:r>
    </w:p>
    <w:p>
      <w:pPr>
        <w:pStyle w:val="style0"/>
        <w:ind w:hanging="0" w:left="720" w:right="0"/>
        <w:jc w:val="both"/>
      </w:pPr>
      <w:r>
        <w:rPr>
          <w:rFonts w:ascii="Calibri" w:cs="Tahoma" w:hAnsi="Calibri"/>
          <w:lang w:val="pl-PL"/>
        </w:rPr>
        <w:t>Informacje zastrzeżone muszą być w sposób trwały oddzielone i oznaczone jako część niejawna oferty.</w:t>
      </w:r>
    </w:p>
    <w:p>
      <w:pPr>
        <w:pStyle w:val="style0"/>
        <w:numPr>
          <w:ilvl w:val="0"/>
          <w:numId w:val="32"/>
        </w:numPr>
        <w:ind w:hanging="360" w:left="656" w:right="0"/>
        <w:jc w:val="both"/>
      </w:pPr>
      <w:r>
        <w:rPr>
          <w:rFonts w:ascii="Calibri" w:cs="Tahoma" w:hAnsi="Calibri"/>
          <w:lang w:val="pl-PL"/>
        </w:rPr>
        <w:t>Wykonawcy ponoszą wszelkie koszty związane z przygotowaniem oferty.</w:t>
      </w:r>
    </w:p>
    <w:p>
      <w:pPr>
        <w:pStyle w:val="style0"/>
        <w:numPr>
          <w:ilvl w:val="0"/>
          <w:numId w:val="32"/>
        </w:numPr>
        <w:ind w:hanging="360" w:left="656" w:right="0"/>
        <w:jc w:val="both"/>
      </w:pPr>
      <w:r>
        <w:rPr>
          <w:rFonts w:ascii="Calibri" w:cs="Tahoma" w:hAnsi="Calibri"/>
          <w:lang w:val="pl-PL"/>
        </w:rPr>
        <w:t>Wykonawcy mogą wspólnie ubiegać się o zamówienie publiczne (dotyczy wspólników spółki cywilnej oraz konsorcjum).</w:t>
      </w:r>
    </w:p>
    <w:p>
      <w:pPr>
        <w:pStyle w:val="style0"/>
        <w:numPr>
          <w:ilvl w:val="0"/>
          <w:numId w:val="32"/>
        </w:numPr>
        <w:ind w:hanging="360" w:left="656" w:right="0"/>
        <w:jc w:val="both"/>
      </w:pPr>
      <w:r>
        <w:rPr>
          <w:rFonts w:ascii="Calibri" w:cs="Tahoma" w:hAnsi="Calibri"/>
          <w:lang w:val="pl-PL"/>
        </w:rPr>
        <w:t>W takim przypadku Wykonawcy ustanawiają pełnomocnika do reprezentowania ich w postępowaniu o udzielenie zamówienia albo do reprezentowania w postępowaniu i zawarcia umowy w sprawie zamówienia publicznego (pełnomocnictwo należy dołączyć do oferty). Wykonawcy wspólnie ubiegający się o udzielenie zamówienia muszą spełniać następujące wymagania:</w:t>
      </w:r>
    </w:p>
    <w:p>
      <w:pPr>
        <w:pStyle w:val="style0"/>
        <w:numPr>
          <w:ilvl w:val="0"/>
          <w:numId w:val="26"/>
        </w:numPr>
        <w:tabs>
          <w:tab w:leader="none" w:pos="2377" w:val="left"/>
        </w:tabs>
        <w:jc w:val="both"/>
      </w:pPr>
      <w:r>
        <w:rPr>
          <w:rFonts w:ascii="Calibri" w:cs="Tahoma" w:hAnsi="Calibri"/>
          <w:lang w:val="pl-PL"/>
        </w:rPr>
        <w:t>w odniesieniu do wymagań postawionych przez zamawiającego, każdy z wykonawców oddzielnie musi udokumentować, że nie podlega wykluczeniu z postępowania o zamówienie publiczne na podstawie art. 24 ust. 1 i 2 ustawy z dnia 29 stycznia 2004 r. Prawo zamówień publicznych,</w:t>
      </w:r>
    </w:p>
    <w:p>
      <w:pPr>
        <w:pStyle w:val="style0"/>
        <w:numPr>
          <w:ilvl w:val="0"/>
          <w:numId w:val="26"/>
        </w:numPr>
        <w:tabs>
          <w:tab w:leader="none" w:pos="2377" w:val="left"/>
        </w:tabs>
        <w:jc w:val="both"/>
      </w:pPr>
      <w:r>
        <w:rPr>
          <w:rFonts w:ascii="Calibri" w:cs="Tahoma" w:hAnsi="Calibri"/>
          <w:lang w:val="pl-PL"/>
        </w:rPr>
        <w:t>wykonawcy w sumie muszą spełniać wymagane warunki udziału w postępowaniu, o których mowa w art. 22 ust. 1 ustawy,</w:t>
      </w:r>
    </w:p>
    <w:p>
      <w:pPr>
        <w:pStyle w:val="style0"/>
        <w:numPr>
          <w:ilvl w:val="0"/>
          <w:numId w:val="26"/>
        </w:numPr>
        <w:jc w:val="both"/>
      </w:pPr>
      <w:r>
        <w:rPr>
          <w:rFonts w:ascii="Calibri" w:cs="Tahoma" w:hAnsi="Calibri"/>
          <w:lang w:val="pl-PL"/>
        </w:rPr>
        <w:t>wszelka korespondencja oraz rozliczenia dokonywane będą wyłącznie z podmiotem występującym jako reprezentant pozostałych – pełnomocnikiem,</w:t>
      </w:r>
    </w:p>
    <w:p>
      <w:pPr>
        <w:pStyle w:val="style0"/>
        <w:numPr>
          <w:ilvl w:val="0"/>
          <w:numId w:val="26"/>
        </w:numPr>
        <w:jc w:val="both"/>
      </w:pPr>
      <w:r>
        <w:rPr>
          <w:rFonts w:ascii="Calibri" w:cs="Tahoma" w:hAnsi="Calibri"/>
          <w:lang w:val="pl-PL"/>
        </w:rPr>
        <w:t>wykonawcy ponoszą solidarną odpowiedzialność za wykonanie umowy i wniesienie zabezpieczenia należytego wykonania umowy.</w:t>
      </w:r>
    </w:p>
    <w:p>
      <w:pPr>
        <w:pStyle w:val="style0"/>
        <w:numPr>
          <w:ilvl w:val="0"/>
          <w:numId w:val="12"/>
        </w:numPr>
        <w:jc w:val="both"/>
      </w:pPr>
      <w:r>
        <w:rPr>
          <w:rFonts w:ascii="Calibri" w:cs="Tahoma" w:hAnsi="Calibri"/>
          <w:lang w:val="pl-PL"/>
        </w:rPr>
        <w:t>Zamawiający będzie żądać od Wykonawcy, którego oferta została wybrana, przed podpisaniem umowy w sprawie zamówienia publicznego, umowy regulującej współpracę podmiotów występujących wspólnie.</w:t>
      </w:r>
    </w:p>
    <w:p>
      <w:pPr>
        <w:pStyle w:val="style0"/>
        <w:jc w:val="both"/>
      </w:pPr>
      <w:r>
        <w:rPr/>
      </w:r>
    </w:p>
    <w:p>
      <w:pPr>
        <w:pStyle w:val="style0"/>
        <w:ind w:hanging="0" w:left="360" w:right="0"/>
        <w:jc w:val="both"/>
      </w:pPr>
      <w:r>
        <w:rPr>
          <w:rFonts w:ascii="Calibri" w:cs="Tahoma" w:hAnsi="Calibri"/>
          <w:b/>
          <w:lang w:val="pl-PL"/>
        </w:rPr>
        <w:t xml:space="preserve">V. NIE DOPUSZCZA SIĘ SKŁADANIA OFERT WARIANTOWYCH I OFERT CZĘSCIOWYCH. </w:t>
      </w:r>
    </w:p>
    <w:p>
      <w:pPr>
        <w:pStyle w:val="style41"/>
        <w:ind w:hanging="540" w:left="540" w:right="0"/>
        <w:jc w:val="both"/>
      </w:pPr>
      <w:r>
        <w:rPr/>
      </w:r>
    </w:p>
    <w:p>
      <w:pPr>
        <w:pStyle w:val="style41"/>
        <w:ind w:hanging="540" w:left="900" w:right="0"/>
        <w:jc w:val="both"/>
      </w:pPr>
      <w:r>
        <w:rPr>
          <w:rFonts w:ascii="Calibri" w:cs="Tahoma" w:hAnsi="Calibri"/>
          <w:lang w:val="pl-PL"/>
        </w:rPr>
        <w:t xml:space="preserve">VI. OPIS WARUNKÓW UDZIAŁU W POSTĘPOWANIU ORAZ OPIS SPOSOBU DOKONYWANIA OCENY SPEŁNIENIA TYCH WARUNKÓW. </w:t>
      </w:r>
    </w:p>
    <w:p>
      <w:pPr>
        <w:pStyle w:val="style34"/>
        <w:numPr>
          <w:ilvl w:val="0"/>
          <w:numId w:val="42"/>
        </w:numPr>
      </w:pPr>
      <w:r>
        <w:rPr>
          <w:rFonts w:ascii="Calibri" w:cs="Tahoma" w:hAnsi="Calibri"/>
          <w:b w:val="false"/>
          <w:lang w:val="pl-PL"/>
        </w:rPr>
        <w:t>udzielenie zamówienia ubiegać się mogą Wykonawcy, którzy:</w:t>
      </w:r>
    </w:p>
    <w:p>
      <w:pPr>
        <w:pStyle w:val="style34"/>
        <w:numPr>
          <w:ilvl w:val="1"/>
          <w:numId w:val="42"/>
        </w:numPr>
      </w:pPr>
      <w:r>
        <w:rPr>
          <w:rFonts w:ascii="Calibri" w:cs="Tahoma" w:hAnsi="Calibri"/>
          <w:b w:val="false"/>
          <w:lang w:val="pl-PL"/>
        </w:rPr>
        <w:t>spełniają warunki udziału w postępowaniu w zakresie wskazanym przepisem art. 22 ust. 1 ustawy dotyczące:</w:t>
      </w:r>
    </w:p>
    <w:p>
      <w:pPr>
        <w:pStyle w:val="style34"/>
        <w:numPr>
          <w:ilvl w:val="2"/>
          <w:numId w:val="42"/>
        </w:numPr>
      </w:pPr>
      <w:r>
        <w:rPr>
          <w:rFonts w:ascii="Calibri" w:cs="Tahoma" w:hAnsi="Calibri"/>
          <w:b w:val="false"/>
          <w:lang w:val="pl-PL"/>
        </w:rPr>
        <w:t>posiadania uprawnień do wykonywania działalności lub czynności, jeżeli przepisy prawa nakładają obowiązek ich posiadania.</w:t>
      </w:r>
    </w:p>
    <w:p>
      <w:pPr>
        <w:pStyle w:val="style34"/>
        <w:ind w:hanging="0" w:left="1224" w:right="0"/>
      </w:pPr>
      <w:r>
        <w:rPr>
          <w:rFonts w:ascii="Calibri" w:cs="Tahoma" w:hAnsi="Calibri"/>
          <w:b w:val="false"/>
          <w:lang w:val="pl-PL"/>
        </w:rPr>
        <w:t>Zamawiający nie precyzuje w tym zakresie żadnych wymagań, których spełnianie Wykonawca zobowiązany jest wykazać w sposób szczegółowy.</w:t>
      </w:r>
    </w:p>
    <w:p>
      <w:pPr>
        <w:pStyle w:val="style34"/>
        <w:numPr>
          <w:ilvl w:val="2"/>
          <w:numId w:val="42"/>
        </w:numPr>
      </w:pPr>
      <w:r>
        <w:rPr>
          <w:rFonts w:ascii="Calibri" w:cs="Tahoma" w:hAnsi="Calibri"/>
          <w:b w:val="false"/>
          <w:lang w:val="en-US"/>
        </w:rPr>
        <w:t>posiadania wiedzy i doświadczenia</w:t>
      </w:r>
    </w:p>
    <w:p>
      <w:pPr>
        <w:pStyle w:val="style34"/>
        <w:ind w:hanging="0" w:left="1224" w:right="0"/>
      </w:pPr>
      <w:r>
        <w:rPr>
          <w:rFonts w:ascii="Calibri" w:cs="Tahoma" w:hAnsi="Calibri"/>
          <w:b w:val="false"/>
          <w:lang w:val="pl-PL"/>
        </w:rPr>
        <w:t xml:space="preserve">Sposób oceny spełnienia warunku: </w:t>
      </w:r>
      <w:r>
        <w:rPr>
          <w:rFonts w:ascii="Calibri" w:cs="Tahoma" w:hAnsi="Calibri"/>
          <w:bCs/>
          <w:lang w:val="pl-PL"/>
        </w:rPr>
        <w:t>zrealizowali w okresie ostatnich 5 latach przed upływem terminu składania ofert, a jeżeli okres prowadzenia działalności jest krótszy w tym okresie, co najmniej 2 zamówienia na roboty ogólnobudowlane, w tym co najmniej jedna o wartości zamówienia min. 250 000 złotych brutto i posiadają dokumenty potwierdzające, że roboty zostały wykonane należycie.</w:t>
      </w:r>
    </w:p>
    <w:p>
      <w:pPr>
        <w:pStyle w:val="style34"/>
        <w:numPr>
          <w:ilvl w:val="2"/>
          <w:numId w:val="42"/>
        </w:numPr>
      </w:pPr>
      <w:r>
        <w:rPr>
          <w:rFonts w:ascii="Calibri" w:cs="Tahoma" w:hAnsi="Calibri"/>
          <w:b w:val="false"/>
          <w:lang w:val="pl-PL"/>
        </w:rPr>
        <w:t>dysponowania odpowiednim potencjałem technicznym oraz osobami zdolnymi do wykonania zamówienia</w:t>
      </w:r>
    </w:p>
    <w:p>
      <w:pPr>
        <w:pStyle w:val="style34"/>
        <w:ind w:hanging="0" w:left="1224" w:right="0"/>
      </w:pPr>
      <w:r>
        <w:rPr>
          <w:rFonts w:ascii="Calibri" w:cs="Tahoma" w:hAnsi="Calibri"/>
          <w:b w:val="false"/>
          <w:lang w:val="pl-PL"/>
        </w:rPr>
        <w:t>Sposób oceny spełnienia warunku: Zamawiający nie precyzuje w tym zakresie żadnych wymagań, których spełnianie Wykonawca zobowiązany jest wykazać w sposób szczegółowy.</w:t>
      </w:r>
    </w:p>
    <w:p>
      <w:pPr>
        <w:pStyle w:val="style34"/>
        <w:numPr>
          <w:ilvl w:val="2"/>
          <w:numId w:val="42"/>
        </w:numPr>
      </w:pPr>
      <w:r>
        <w:rPr>
          <w:rFonts w:ascii="Calibri" w:cs="Tahoma" w:hAnsi="Calibri"/>
          <w:b w:val="false"/>
          <w:lang w:val="en-US"/>
        </w:rPr>
        <w:t>sytuacji ekonomicznej i finansowej</w:t>
      </w:r>
    </w:p>
    <w:p>
      <w:pPr>
        <w:pStyle w:val="style34"/>
        <w:ind w:hanging="0" w:left="1224" w:right="0"/>
      </w:pPr>
      <w:r>
        <w:rPr>
          <w:rFonts w:ascii="Calibri" w:cs="Tahoma" w:hAnsi="Calibri"/>
          <w:b w:val="false"/>
          <w:lang w:val="pl-PL"/>
        </w:rPr>
        <w:t xml:space="preserve">Sposób oceny spełnienia warunku: </w:t>
      </w:r>
      <w:r>
        <w:rPr>
          <w:rFonts w:ascii="Calibri" w:cs="Tahoma" w:hAnsi="Calibri"/>
          <w:bCs/>
          <w:lang w:val="pl-PL"/>
        </w:rPr>
        <w:t>wykonawca wykaże, że posiada środki finansowe lub zdolność kredytową na kwotę min. 100000 zł.</w:t>
      </w:r>
    </w:p>
    <w:p>
      <w:pPr>
        <w:pStyle w:val="style34"/>
        <w:numPr>
          <w:ilvl w:val="0"/>
          <w:numId w:val="42"/>
        </w:numPr>
      </w:pPr>
      <w:r>
        <w:rPr>
          <w:rFonts w:ascii="Calibri" w:cs="Tahoma" w:hAnsi="Calibri"/>
          <w:b w:val="false"/>
          <w:lang w:val="pl-PL"/>
        </w:rPr>
        <w:t>nie podlegają wykluczeniu z uwagi na okoliczności wskazane przepisem art. 24 ust. 1 ustawy.</w:t>
      </w:r>
    </w:p>
    <w:p>
      <w:pPr>
        <w:pStyle w:val="style34"/>
        <w:numPr>
          <w:ilvl w:val="0"/>
          <w:numId w:val="42"/>
        </w:numPr>
      </w:pPr>
      <w:r>
        <w:rPr>
          <w:rFonts w:ascii="Calibri" w:cs="Tahoma" w:hAnsi="Calibri"/>
          <w:b w:val="false"/>
          <w:lang w:val="pl-PL"/>
        </w:rPr>
        <w:t>Wykonawca może polegać na wiedzy i doświadczeniu, potencjale technicznym, osobach zdolnych do wykonania zamówienia lub zdolnościach finansowych innych podmiotów, niezależnie od charakteru prawnego łączących go z nimi stosunków.</w:t>
      </w:r>
    </w:p>
    <w:p>
      <w:pPr>
        <w:pStyle w:val="style34"/>
        <w:numPr>
          <w:ilvl w:val="0"/>
          <w:numId w:val="42"/>
        </w:numPr>
      </w:pPr>
      <w:r>
        <w:rPr>
          <w:rFonts w:ascii="Calibri" w:cs="Tahoma" w:hAnsi="Calibri"/>
          <w:b w:val="false"/>
          <w:lang w:val="pl-PL"/>
        </w:rPr>
        <w:t>Zamawiający dokona oceny spełnienia przez Wykonawców warunków wskazanych w ppkt 1.1 na podstawie danych i informacji zawartych w żądanych do załączenia do oferty – oświadczeniach i dokumentach.</w:t>
      </w:r>
    </w:p>
    <w:p>
      <w:pPr>
        <w:pStyle w:val="style34"/>
        <w:ind w:hanging="540" w:left="540" w:right="0"/>
      </w:pPr>
      <w:r>
        <w:rPr>
          <w:rFonts w:ascii="Calibri" w:cs="Tahoma" w:hAnsi="Calibri"/>
          <w:sz w:val="24"/>
          <w:szCs w:val="24"/>
          <w:lang w:val="pl-PL"/>
        </w:rPr>
        <w:t>VII. OFERTA ORAZ WYKAZ OŚWIADCZEŃ I DOKUMENTÓW, JAKIE MAJĄ DOSTARCZYĆ WYKONAWCY W CELU POTWIERDZENIA SPEŁNIENIA WARUNKÓW UDZIAŁU W POSTĘPOWANIU</w:t>
      </w:r>
    </w:p>
    <w:p>
      <w:pPr>
        <w:pStyle w:val="style0"/>
        <w:jc w:val="both"/>
      </w:pPr>
      <w:r>
        <w:rPr>
          <w:rFonts w:ascii="Calibri" w:cs="Tahoma" w:hAnsi="Calibri"/>
          <w:b/>
          <w:lang w:val="pl-PL"/>
        </w:rPr>
        <w:t>Oferta:</w:t>
      </w:r>
    </w:p>
    <w:p>
      <w:pPr>
        <w:pStyle w:val="style0"/>
        <w:numPr>
          <w:ilvl w:val="0"/>
          <w:numId w:val="17"/>
        </w:numPr>
      </w:pPr>
      <w:r>
        <w:rPr>
          <w:rFonts w:ascii="Calibri" w:cs="Tahoma" w:hAnsi="Calibri"/>
          <w:lang w:val="pl-PL"/>
        </w:rPr>
        <w:t>formularz ofertowy (wg załączonego wzoru – załącznik nr 1),</w:t>
      </w:r>
    </w:p>
    <w:p>
      <w:pPr>
        <w:pStyle w:val="style0"/>
        <w:numPr>
          <w:ilvl w:val="0"/>
          <w:numId w:val="17"/>
        </w:numPr>
      </w:pPr>
      <w:r>
        <w:rPr>
          <w:rFonts w:ascii="Calibri" w:cs="Tahoma" w:hAnsi="Calibri"/>
          <w:lang w:val="pl-PL"/>
        </w:rPr>
        <w:t>dowód wniesienia wadium,</w:t>
      </w:r>
    </w:p>
    <w:p>
      <w:pPr>
        <w:pStyle w:val="style0"/>
        <w:numPr>
          <w:ilvl w:val="0"/>
          <w:numId w:val="17"/>
        </w:numPr>
      </w:pPr>
      <w:r>
        <w:rPr>
          <w:rFonts w:ascii="Calibri" w:cs="Tahoma" w:hAnsi="Calibri"/>
          <w:lang w:val="pl-PL"/>
        </w:rPr>
        <w:t>dokumenty i oświadczenia potwierdzające spełnienie warunków udziału w postępowaniu:</w:t>
      </w:r>
    </w:p>
    <w:p>
      <w:pPr>
        <w:pStyle w:val="style0"/>
        <w:numPr>
          <w:ilvl w:val="1"/>
          <w:numId w:val="17"/>
        </w:numPr>
        <w:ind w:hanging="360" w:left="1440" w:right="0"/>
        <w:jc w:val="both"/>
      </w:pPr>
      <w:r>
        <w:rPr>
          <w:rFonts w:ascii="Calibri" w:cs="Tahoma" w:hAnsi="Calibri"/>
          <w:lang w:val="pl-PL"/>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Prawo zamówień publicznych, wystawionego nie wcześniej niż na 6 miesięcy przed upływem terminu składania ofert. Wykonawcy mający siedzibę lub miejsce zamieszkania poza terytorium Polski, składają dokument lub dokumenty wystawione w kraju, w którym mają siedzibę lub miejsce zamieszkania, potwierdzające odpowiednio, że nie otwarto ich likwidacji ani nie ogłoszono upadłości, </w:t>
      </w:r>
    </w:p>
    <w:p>
      <w:pPr>
        <w:pStyle w:val="style0"/>
        <w:numPr>
          <w:ilvl w:val="1"/>
          <w:numId w:val="17"/>
        </w:numPr>
        <w:ind w:hanging="360" w:left="1440" w:right="0"/>
        <w:jc w:val="both"/>
      </w:pPr>
      <w:r>
        <w:rPr>
          <w:rFonts w:ascii="Calibri" w:cs="Tahoma" w:hAnsi="Calibri"/>
          <w:lang w:val="pl-PL"/>
        </w:rPr>
        <w:t xml:space="preserve">oświadczenie Wykonawcy o spełnieniu warunków udziału w postępowaniu, o których mowa w art. 22, ust. 1 ustawy z dnia 29 stycznia 2004 r. Prawo zamówień publicznych i o nie podleganiu wykluczeniu z postępowania zgodnie z art. 24 ust. 1 i 2 (wg </w:t>
      </w:r>
      <w:r>
        <w:rPr>
          <w:rFonts w:ascii="Calibri" w:cs="Tahoma" w:hAnsi="Calibri"/>
          <w:bCs/>
          <w:lang w:val="pl-PL"/>
        </w:rPr>
        <w:t>załącznika nr 2 do SIWZ</w:t>
      </w:r>
      <w:r>
        <w:rPr>
          <w:rFonts w:ascii="Calibri" w:cs="Tahoma" w:hAnsi="Calibri"/>
          <w:lang w:val="pl-PL"/>
        </w:rPr>
        <w:t>),</w:t>
      </w:r>
    </w:p>
    <w:p>
      <w:pPr>
        <w:pStyle w:val="style0"/>
        <w:numPr>
          <w:ilvl w:val="1"/>
          <w:numId w:val="17"/>
        </w:numPr>
        <w:ind w:hanging="360" w:left="1440" w:right="0"/>
        <w:jc w:val="both"/>
      </w:pPr>
      <w:r>
        <w:rPr>
          <w:rFonts w:ascii="Calibri" w:cs="Tahoma" w:hAnsi="Calibri"/>
          <w:lang w:val="pl-PL"/>
        </w:rPr>
        <w:t>informacji banku lub spółdzielczej kasy oszczędnościowo-kredytowej potwierdzającej wysokość posiadanych środków finansowych lub zdolność kredytową wykonawcy</w:t>
      </w:r>
      <w:r>
        <w:rPr>
          <w:rFonts w:ascii="Calibri" w:cs="Tahoma" w:hAnsi="Calibri"/>
          <w:bCs/>
          <w:lang w:val="pl-PL"/>
        </w:rPr>
        <w:t xml:space="preserve"> na kwotę min. 100000 zł</w:t>
      </w:r>
      <w:r>
        <w:rPr>
          <w:rFonts w:ascii="Calibri" w:cs="Tahoma" w:hAnsi="Calibri"/>
          <w:lang w:val="pl-PL"/>
        </w:rPr>
        <w:t>, wystawionej nie wcześniej niż 3 miesiące przed upływem terminu składania ofert albo składania wniosków o dopuszczenie do udziału w postępowaniu o udzielenie zamówienia,</w:t>
      </w:r>
    </w:p>
    <w:p>
      <w:pPr>
        <w:pStyle w:val="style0"/>
        <w:numPr>
          <w:ilvl w:val="1"/>
          <w:numId w:val="17"/>
        </w:numPr>
        <w:ind w:hanging="360" w:left="1440" w:right="0"/>
        <w:jc w:val="both"/>
      </w:pPr>
      <w:r>
        <w:rPr>
          <w:rFonts w:ascii="Calibri" w:cs="Tahoma" w:hAnsi="Calibri"/>
          <w:lang w:val="pl-PL"/>
        </w:rPr>
        <w:t>wykazu robót budowlanych (minimum 2) wykonanych w okresie ostatnich pięciu lat przed upływem terminu składania ofert albo wniosków o dopuszczenie do udziału w postępowaniu, w tym co najmniej jednego o wartości zamówienia min. 250 000 złotych brutto, a jeżeli okres prowadzenia działalności jest krótszy – w tym okresie, wraz z podaniem ich rodzaju i wartości, daty i miejsca wykonania (</w:t>
      </w:r>
      <w:r>
        <w:rPr>
          <w:rFonts w:ascii="Calibri" w:cs="Tahoma" w:hAnsi="Calibri"/>
          <w:bCs/>
          <w:lang w:val="pl-PL"/>
        </w:rPr>
        <w:t>załącznik nr 3 do SIWZ)</w:t>
      </w:r>
      <w:r>
        <w:rPr>
          <w:rFonts w:ascii="Calibri" w:cs="Tahoma" w:hAnsi="Calibri"/>
          <w:lang w:val="pl-PL"/>
        </w:rPr>
        <w:t xml:space="preserve"> oraz  załączeniem dowodów dotyczących najważniejszych robót określających, czy roboty te zostały wykonane w sposób należyty oraz wskazujących, czy zostały wykonane zgodnie z zasadami sztuki budowlanej i prawidłowo ukończone</w:t>
      </w:r>
      <w:r>
        <w:rPr>
          <w:rFonts w:ascii="Calibri" w:cs="Tahoma" w:hAnsi="Calibri"/>
          <w:bCs/>
          <w:lang w:val="pl-PL"/>
        </w:rPr>
        <w:t>,</w:t>
      </w:r>
    </w:p>
    <w:p>
      <w:pPr>
        <w:pStyle w:val="style0"/>
        <w:numPr>
          <w:ilvl w:val="1"/>
          <w:numId w:val="17"/>
        </w:numPr>
        <w:ind w:hanging="360" w:left="1440" w:right="0"/>
        <w:jc w:val="both"/>
      </w:pPr>
      <w:r>
        <w:rPr>
          <w:rFonts w:ascii="Calibri" w:cs="Tahoma" w:hAnsi="Calibri"/>
          <w:bCs/>
          <w:lang w:val="pl-PL"/>
        </w:rPr>
        <w:t>listę podmiotów należących do tej samej grupy kapitałowej, o której mowa w art. 24 ust. 2 pkt. 5, albo informację o tym, że nie należy do grupy kapitałowej</w:t>
      </w:r>
    </w:p>
    <w:p>
      <w:pPr>
        <w:pStyle w:val="style0"/>
        <w:ind w:hanging="0" w:left="656" w:right="0"/>
      </w:pPr>
      <w:r>
        <w:rPr/>
      </w:r>
    </w:p>
    <w:p>
      <w:pPr>
        <w:pStyle w:val="style0"/>
        <w:jc w:val="both"/>
      </w:pPr>
      <w:r>
        <w:rPr>
          <w:rFonts w:ascii="Calibri" w:cs="Tahoma" w:hAnsi="Calibri"/>
          <w:b/>
          <w:lang w:val="pl-PL"/>
        </w:rPr>
        <w:t>VIII. WYMAGANIA DOTYCZĄCE WADIUM.</w:t>
      </w:r>
    </w:p>
    <w:p>
      <w:pPr>
        <w:pStyle w:val="style0"/>
        <w:jc w:val="both"/>
      </w:pPr>
      <w:r>
        <w:rPr/>
      </w:r>
    </w:p>
    <w:p>
      <w:pPr>
        <w:pStyle w:val="style0"/>
        <w:numPr>
          <w:ilvl w:val="0"/>
          <w:numId w:val="16"/>
        </w:numPr>
        <w:jc w:val="both"/>
      </w:pPr>
      <w:r>
        <w:rPr>
          <w:rFonts w:ascii="Calibri" w:cs="Tahoma" w:hAnsi="Calibri"/>
          <w:lang w:val="pl-PL"/>
        </w:rPr>
        <w:t>Każda oferta musi być zabezpieczona wadium o wartości 10000 zł.</w:t>
      </w:r>
    </w:p>
    <w:p>
      <w:pPr>
        <w:pStyle w:val="style0"/>
        <w:numPr>
          <w:ilvl w:val="0"/>
          <w:numId w:val="16"/>
        </w:numPr>
        <w:jc w:val="both"/>
      </w:pPr>
      <w:r>
        <w:rPr>
          <w:rFonts w:ascii="Calibri" w:cs="Tahoma" w:hAnsi="Calibri"/>
          <w:lang w:val="pl-PL"/>
        </w:rPr>
        <w:t>Wadium może być wniesione w następujących formach:</w:t>
      </w:r>
    </w:p>
    <w:p>
      <w:pPr>
        <w:pStyle w:val="style0"/>
        <w:numPr>
          <w:ilvl w:val="0"/>
          <w:numId w:val="27"/>
        </w:numPr>
        <w:jc w:val="both"/>
      </w:pPr>
      <w:r>
        <w:rPr>
          <w:rFonts w:ascii="Calibri" w:cs="Tahoma" w:hAnsi="Calibri"/>
          <w:lang w:val="pl-PL"/>
        </w:rPr>
        <w:t>pieniądzu,</w:t>
      </w:r>
    </w:p>
    <w:p>
      <w:pPr>
        <w:pStyle w:val="style0"/>
        <w:numPr>
          <w:ilvl w:val="0"/>
          <w:numId w:val="27"/>
        </w:numPr>
        <w:jc w:val="both"/>
      </w:pPr>
      <w:r>
        <w:rPr>
          <w:rFonts w:ascii="Calibri" w:cs="Tahoma" w:hAnsi="Calibri"/>
          <w:lang w:val="pl-PL"/>
        </w:rPr>
        <w:t>poręczeniach bankowych lub poręczeniach spółdzielczej kasy oszczędnościowo-kredytowej, z tym że poręczenie kasy jest zawsze poręczeniem pieniężnym,</w:t>
      </w:r>
    </w:p>
    <w:p>
      <w:pPr>
        <w:pStyle w:val="style0"/>
        <w:numPr>
          <w:ilvl w:val="0"/>
          <w:numId w:val="27"/>
        </w:numPr>
        <w:jc w:val="both"/>
      </w:pPr>
      <w:r>
        <w:rPr>
          <w:rFonts w:ascii="Calibri" w:cs="Tahoma" w:hAnsi="Calibri"/>
          <w:lang w:val="pl-PL"/>
        </w:rPr>
        <w:t>gwarancjach bankowych,</w:t>
      </w:r>
    </w:p>
    <w:p>
      <w:pPr>
        <w:pStyle w:val="style0"/>
        <w:numPr>
          <w:ilvl w:val="0"/>
          <w:numId w:val="27"/>
        </w:numPr>
        <w:jc w:val="both"/>
      </w:pPr>
      <w:r>
        <w:rPr>
          <w:rFonts w:ascii="Calibri" w:cs="Tahoma" w:hAnsi="Calibri"/>
          <w:lang w:val="pl-PL"/>
        </w:rPr>
        <w:t>gwarancjach ubezpieczeniowych,</w:t>
      </w:r>
    </w:p>
    <w:p>
      <w:pPr>
        <w:pStyle w:val="style43"/>
        <w:numPr>
          <w:ilvl w:val="0"/>
          <w:numId w:val="27"/>
        </w:numPr>
      </w:pPr>
      <w:r>
        <w:rPr>
          <w:rFonts w:ascii="Calibri" w:cs="Tahoma" w:hAnsi="Calibri"/>
          <w:lang w:val="pl-PL"/>
        </w:rPr>
        <w:t>poręczeniach udzielanych przez podmioty, o których mowa w art. 6 ust. 3 pkt 4 lit. b ustawy z dnia 9 listopada 2000 r. o utworzeniu Polskiej Agencji Rozwoju Przedsiębiorczości (Dz. U. Nr 109, poz. 1158 oraz z 2002 r. Nr 25, poz. 253, Nr 66, poz. 596 i Nr 216, poz. 1824).</w:t>
      </w:r>
    </w:p>
    <w:p>
      <w:pPr>
        <w:pStyle w:val="style0"/>
        <w:numPr>
          <w:ilvl w:val="0"/>
          <w:numId w:val="16"/>
        </w:numPr>
        <w:jc w:val="both"/>
      </w:pPr>
      <w:r>
        <w:rPr>
          <w:rFonts w:ascii="Calibri" w:cs="Tahoma" w:hAnsi="Calibri"/>
          <w:lang w:val="pl-PL"/>
        </w:rPr>
        <w:t>Wadium wnoszone w formie pieniężnej należy wpłacić przelewem na na rachunek bankowy nr 82 1130 1059 0017 3397 3920 0008  BGK  O/Białystok</w:t>
      </w:r>
      <w:r>
        <w:rPr>
          <w:rFonts w:ascii="Calibri" w:cs="Tahoma" w:hAnsi="Calibri"/>
          <w:b/>
          <w:bCs/>
          <w:lang w:val="pl-PL"/>
        </w:rPr>
        <w:t xml:space="preserve"> </w:t>
      </w:r>
      <w:r>
        <w:rPr>
          <w:rFonts w:ascii="Calibri" w:cs="Tahoma" w:hAnsi="Calibri"/>
          <w:bCs/>
          <w:lang w:val="pl-PL"/>
        </w:rPr>
        <w:t>tytułem</w:t>
      </w:r>
      <w:r>
        <w:rPr>
          <w:rFonts w:ascii="Calibri" w:cs="Tahoma" w:hAnsi="Calibri"/>
          <w:lang w:val="pl-PL"/>
        </w:rPr>
        <w:t xml:space="preserve">: </w:t>
      </w:r>
      <w:r>
        <w:rPr>
          <w:rFonts w:ascii="Calibri" w:cs="Tahoma" w:hAnsi="Calibri"/>
          <w:i/>
          <w:lang w:val="pl-PL"/>
        </w:rPr>
        <w:t>„</w:t>
      </w:r>
      <w:r>
        <w:rPr>
          <w:rFonts w:ascii="Calibri" w:cs="Tahoma" w:hAnsi="Calibri"/>
          <w:bCs/>
          <w:i/>
          <w:lang w:val="pl-PL"/>
        </w:rPr>
        <w:t>Wadium w postępowaniu na</w:t>
      </w:r>
      <w:r>
        <w:rPr>
          <w:rFonts w:ascii="Calibri" w:cs="Tahoma" w:hAnsi="Calibri"/>
          <w:bCs/>
          <w:i/>
          <w:iCs/>
          <w:lang w:val="pl-PL"/>
        </w:rPr>
        <w:t xml:space="preserve"> modernizację infrastruktury turystycznej na obszarze Natura 2000 Bagienna Dolina Narwi PLB 200001</w:t>
      </w:r>
      <w:r>
        <w:rPr>
          <w:rFonts w:ascii="Calibri" w:cs="Tahoma" w:hAnsi="Calibri"/>
          <w:bCs/>
          <w:i/>
          <w:lang w:val="pl-PL"/>
        </w:rPr>
        <w:t>”</w:t>
      </w:r>
      <w:r>
        <w:rPr>
          <w:rFonts w:ascii="Calibri" w:cs="Tahoma" w:hAnsi="Calibri"/>
          <w:lang w:val="pl-PL"/>
        </w:rPr>
        <w:t>, a dowód wpłaty wadium należy dołączyć do oferty.</w:t>
      </w:r>
    </w:p>
    <w:p>
      <w:pPr>
        <w:pStyle w:val="style0"/>
        <w:numPr>
          <w:ilvl w:val="0"/>
          <w:numId w:val="16"/>
        </w:numPr>
        <w:jc w:val="both"/>
      </w:pPr>
      <w:r>
        <w:rPr>
          <w:rFonts w:ascii="Calibri" w:cs="Tahoma" w:hAnsi="Calibri"/>
          <w:lang w:val="pl-PL"/>
        </w:rPr>
        <w:t xml:space="preserve">Wadium wnoszone w pozostałych formach </w:t>
      </w:r>
      <w:r>
        <w:rPr>
          <w:rFonts w:ascii="Calibri" w:cs="Tahoma" w:hAnsi="Calibri"/>
          <w:bCs/>
          <w:lang w:val="pl-PL"/>
        </w:rPr>
        <w:t xml:space="preserve">należy dołączyć do oferty </w:t>
      </w:r>
      <w:r>
        <w:rPr>
          <w:rFonts w:ascii="Calibri" w:cs="Tahoma" w:hAnsi="Calibri"/>
          <w:lang w:val="pl-PL"/>
        </w:rPr>
        <w:t xml:space="preserve">w oddzielnej kopercie z dopiskiem </w:t>
      </w:r>
      <w:r>
        <w:rPr>
          <w:rFonts w:ascii="Calibri" w:cs="Tahoma" w:hAnsi="Calibri"/>
          <w:i/>
          <w:lang w:val="pl-PL"/>
        </w:rPr>
        <w:t>„</w:t>
      </w:r>
      <w:r>
        <w:rPr>
          <w:rFonts w:ascii="Calibri" w:cs="Tahoma" w:hAnsi="Calibri"/>
          <w:bCs/>
          <w:i/>
          <w:lang w:val="pl-PL"/>
        </w:rPr>
        <w:t>Wadium w postępowaniu na</w:t>
      </w:r>
      <w:r>
        <w:rPr>
          <w:rFonts w:ascii="Calibri" w:cs="Tahoma" w:hAnsi="Calibri"/>
          <w:bCs/>
          <w:i/>
          <w:iCs/>
          <w:lang w:val="pl-PL"/>
        </w:rPr>
        <w:t xml:space="preserve"> modernizację infrastruktury turystycznej na obszarze Natura 2000 Bagienna Dolina Narwi PLB 200001</w:t>
      </w:r>
      <w:r>
        <w:rPr>
          <w:rFonts w:ascii="Calibri" w:cs="Tahoma" w:hAnsi="Calibri"/>
          <w:bCs/>
          <w:i/>
          <w:lang w:val="pl-PL"/>
        </w:rPr>
        <w:t>”</w:t>
      </w:r>
      <w:r>
        <w:rPr>
          <w:rFonts w:ascii="Calibri" w:cs="Tahoma" w:hAnsi="Calibri"/>
          <w:lang w:val="pl-PL"/>
        </w:rPr>
        <w:t xml:space="preserve">, a potwierdzenie wraz z kopią złożonego dokumentu należy załączyć do oferty. Wadium musi być wniesione najpóźniej w terminie składania ofert, tj. do dnia </w:t>
      </w:r>
      <w:r>
        <w:rPr>
          <w:rFonts w:ascii="Calibri" w:cs="Tahoma" w:hAnsi="Calibri"/>
          <w:lang w:val="pl-PL"/>
        </w:rPr>
        <w:t>17</w:t>
      </w:r>
      <w:r>
        <w:rPr>
          <w:rFonts w:ascii="Calibri" w:cs="Tahoma" w:hAnsi="Calibri"/>
          <w:lang w:val="pl-PL"/>
        </w:rPr>
        <w:t xml:space="preserve"> </w:t>
      </w:r>
      <w:r>
        <w:rPr>
          <w:rFonts w:ascii="Calibri" w:cs="Tahoma" w:hAnsi="Calibri"/>
          <w:lang w:val="pl-PL"/>
        </w:rPr>
        <w:t>lipca</w:t>
      </w:r>
      <w:r>
        <w:rPr>
          <w:rFonts w:ascii="Calibri" w:cs="Tahoma" w:hAnsi="Calibri"/>
          <w:lang w:val="pl-PL"/>
        </w:rPr>
        <w:t xml:space="preserve"> 2013 r. do godz. 9.00. Za skuteczne wniesienie wadium w pieniądzu Zamawiający uważa wadium, które w oznaczonym terminie znajdzie się na koncie Zamawiającego.</w:t>
      </w:r>
    </w:p>
    <w:p>
      <w:pPr>
        <w:pStyle w:val="style0"/>
        <w:numPr>
          <w:ilvl w:val="0"/>
          <w:numId w:val="16"/>
        </w:numPr>
        <w:jc w:val="both"/>
      </w:pPr>
      <w:r>
        <w:rPr>
          <w:rFonts w:ascii="Calibri" w:cs="Tahoma" w:hAnsi="Calibri"/>
          <w:lang w:val="pl-PL"/>
        </w:rPr>
        <w:t>Wykonawca, który nie wniósł wadium zostanie wykluczony z postępowania.</w:t>
      </w:r>
    </w:p>
    <w:p>
      <w:pPr>
        <w:pStyle w:val="style0"/>
        <w:numPr>
          <w:ilvl w:val="0"/>
          <w:numId w:val="16"/>
        </w:numPr>
        <w:jc w:val="both"/>
      </w:pPr>
      <w:r>
        <w:rPr>
          <w:rFonts w:ascii="Calibri" w:cs="Tahoma" w:hAnsi="Calibri"/>
          <w:lang w:val="pl-PL"/>
        </w:rPr>
        <w:t>Wykonawca, którego oferta została wybrana traci wadium wraz z odsetkami na rzecz Zamawiającego w okolicznościach przewidzianych w art. 46 ust. 5 ustawy Prawo zamówień publicznych.</w:t>
      </w:r>
    </w:p>
    <w:p>
      <w:pPr>
        <w:pStyle w:val="style0"/>
        <w:numPr>
          <w:ilvl w:val="0"/>
          <w:numId w:val="16"/>
        </w:numPr>
        <w:spacing w:line="276" w:lineRule="auto"/>
        <w:jc w:val="both"/>
      </w:pPr>
      <w:r>
        <w:rPr>
          <w:rFonts w:ascii="Calibri" w:hAnsi="Calibri"/>
        </w:rPr>
        <w:t xml:space="preserve">Zamawiający zwraca wadium wszystkim wykonawcom niezwłocznie po wyborze oferty najkorzystniejszej lub unieważnieniu postępowania, z wyjątkiem wykonawcy, którego </w:t>
      </w:r>
      <w:r>
        <w:rPr>
          <w:rFonts w:ascii="Calibri" w:hAnsi="Calibri"/>
          <w:bCs/>
        </w:rPr>
        <w:t>oferta została wybrana jako najkorzystniejsza.</w:t>
      </w:r>
    </w:p>
    <w:p>
      <w:pPr>
        <w:pStyle w:val="style0"/>
        <w:numPr>
          <w:ilvl w:val="0"/>
          <w:numId w:val="16"/>
        </w:numPr>
        <w:spacing w:line="276" w:lineRule="auto"/>
        <w:jc w:val="both"/>
      </w:pPr>
      <w:r>
        <w:rPr>
          <w:rFonts w:ascii="Calibri" w:hAnsi="Calibri"/>
        </w:rPr>
        <w:t>Zamawiający zatrzymuje wadium, jeżeli wykonawca, którego oferta została wybrana:</w:t>
      </w:r>
    </w:p>
    <w:p>
      <w:pPr>
        <w:pStyle w:val="style0"/>
        <w:numPr>
          <w:ilvl w:val="1"/>
          <w:numId w:val="41"/>
        </w:numPr>
        <w:spacing w:line="276" w:lineRule="auto"/>
        <w:ind w:hanging="360" w:left="502" w:right="0"/>
        <w:jc w:val="both"/>
      </w:pPr>
      <w:r>
        <w:rPr>
          <w:rFonts w:ascii="Calibri" w:hAnsi="Calibri"/>
        </w:rPr>
        <w:t>odmówił podpisania umowy w sprawie zamówienia publicznego na warunkach określonych w ofercie;</w:t>
      </w:r>
    </w:p>
    <w:p>
      <w:pPr>
        <w:pStyle w:val="style0"/>
        <w:numPr>
          <w:ilvl w:val="1"/>
          <w:numId w:val="41"/>
        </w:numPr>
        <w:spacing w:line="276" w:lineRule="auto"/>
        <w:ind w:hanging="360" w:left="502" w:right="0"/>
        <w:jc w:val="both"/>
      </w:pPr>
      <w:r>
        <w:rPr>
          <w:rFonts w:ascii="Calibri" w:hAnsi="Calibri"/>
        </w:rPr>
        <w:t>zawarcie umowy w sprawie zamówienia publicznego stało się̨ niemożliwe z przyczyn leżących po stronie Wykonawcy.</w:t>
      </w:r>
    </w:p>
    <w:p>
      <w:pPr>
        <w:pStyle w:val="style0"/>
        <w:ind w:hanging="360" w:left="360" w:right="0"/>
        <w:jc w:val="both"/>
      </w:pPr>
      <w:r>
        <w:rPr/>
      </w:r>
    </w:p>
    <w:p>
      <w:pPr>
        <w:pStyle w:val="style0"/>
        <w:jc w:val="both"/>
      </w:pPr>
      <w:r>
        <w:rPr>
          <w:rFonts w:ascii="Calibri" w:cs="Tahoma" w:hAnsi="Calibri"/>
          <w:b/>
          <w:lang w:val="pl-PL"/>
        </w:rPr>
        <w:t>IX. WYMAGANIA ZABEZPIECZENIA NALEŻYTEGO WYKONANIA UMOWY</w:t>
      </w:r>
    </w:p>
    <w:p>
      <w:pPr>
        <w:pStyle w:val="style42"/>
        <w:numPr>
          <w:ilvl w:val="0"/>
          <w:numId w:val="15"/>
        </w:numPr>
      </w:pPr>
      <w:r>
        <w:rPr>
          <w:rFonts w:ascii="Calibri" w:cs="Tahoma" w:hAnsi="Calibri"/>
          <w:b w:val="false"/>
          <w:color w:val="000000"/>
          <w:sz w:val="24"/>
          <w:szCs w:val="24"/>
          <w:lang w:val="pl-PL"/>
        </w:rPr>
        <w:t xml:space="preserve">Zamawiający będzie żądać od Wykonawcy, którego oferta została wybrana jako najkorzystniejsza, wniesienia zabezpieczenia należytego wykonania umowy w wysokości </w:t>
        <w:br/>
      </w:r>
      <w:r>
        <w:rPr>
          <w:rFonts w:ascii="Calibri" w:cs="Tahoma" w:hAnsi="Calibri"/>
          <w:bCs/>
          <w:color w:val="000000"/>
          <w:sz w:val="24"/>
          <w:szCs w:val="24"/>
          <w:lang w:val="pl-PL"/>
        </w:rPr>
        <w:t>3 %</w:t>
      </w:r>
      <w:r>
        <w:rPr>
          <w:rFonts w:ascii="Calibri" w:cs="Tahoma" w:hAnsi="Calibri"/>
          <w:b w:val="false"/>
          <w:color w:val="000000"/>
          <w:sz w:val="24"/>
          <w:szCs w:val="24"/>
          <w:lang w:val="pl-PL"/>
        </w:rPr>
        <w:t xml:space="preserve"> ceny ofertowej brutto.</w:t>
      </w:r>
    </w:p>
    <w:p>
      <w:pPr>
        <w:pStyle w:val="style0"/>
        <w:numPr>
          <w:ilvl w:val="0"/>
          <w:numId w:val="15"/>
        </w:numPr>
        <w:jc w:val="both"/>
      </w:pPr>
      <w:r>
        <w:rPr>
          <w:rFonts w:ascii="Calibri" w:cs="Tahoma" w:hAnsi="Calibri"/>
          <w:lang w:val="pl-PL"/>
        </w:rPr>
        <w:t>Zabezpieczenie należytego wykonania umowy może być wniesione w następujących formach:</w:t>
      </w:r>
    </w:p>
    <w:p>
      <w:pPr>
        <w:pStyle w:val="style0"/>
        <w:numPr>
          <w:ilvl w:val="0"/>
          <w:numId w:val="28"/>
        </w:numPr>
        <w:jc w:val="both"/>
      </w:pPr>
      <w:r>
        <w:rPr>
          <w:rFonts w:ascii="Calibri" w:cs="Tahoma" w:hAnsi="Calibri"/>
          <w:lang w:val="pl-PL"/>
        </w:rPr>
        <w:t>pieniądzu,</w:t>
      </w:r>
    </w:p>
    <w:p>
      <w:pPr>
        <w:pStyle w:val="style0"/>
        <w:numPr>
          <w:ilvl w:val="0"/>
          <w:numId w:val="28"/>
        </w:numPr>
        <w:jc w:val="both"/>
      </w:pPr>
      <w:r>
        <w:rPr>
          <w:rFonts w:ascii="Calibri" w:cs="Tahoma" w:hAnsi="Calibri"/>
          <w:lang w:val="pl-PL"/>
        </w:rPr>
        <w:t>poręczeniach bankowych lub poręczeniach spółdzielczej kasy oszczędnościowo-kredytowej, z tym że zobowiązanie kasy jest zawsze zobowiązaniem pieniężnym,</w:t>
      </w:r>
    </w:p>
    <w:p>
      <w:pPr>
        <w:pStyle w:val="style0"/>
        <w:numPr>
          <w:ilvl w:val="0"/>
          <w:numId w:val="28"/>
        </w:numPr>
        <w:jc w:val="both"/>
      </w:pPr>
      <w:r>
        <w:rPr>
          <w:rFonts w:ascii="Calibri" w:cs="Tahoma" w:hAnsi="Calibri"/>
          <w:lang w:val="pl-PL"/>
        </w:rPr>
        <w:t>gwarancjach bankowych,</w:t>
      </w:r>
    </w:p>
    <w:p>
      <w:pPr>
        <w:pStyle w:val="style0"/>
        <w:numPr>
          <w:ilvl w:val="0"/>
          <w:numId w:val="28"/>
        </w:numPr>
        <w:jc w:val="both"/>
      </w:pPr>
      <w:r>
        <w:rPr>
          <w:rFonts w:ascii="Calibri" w:cs="Tahoma" w:hAnsi="Calibri"/>
          <w:lang w:val="pl-PL"/>
        </w:rPr>
        <w:t>gwarancjach ubezpieczeniowych,</w:t>
      </w:r>
    </w:p>
    <w:p>
      <w:pPr>
        <w:pStyle w:val="style0"/>
        <w:numPr>
          <w:ilvl w:val="0"/>
          <w:numId w:val="28"/>
        </w:numPr>
        <w:jc w:val="both"/>
      </w:pPr>
      <w:r>
        <w:rPr>
          <w:rFonts w:ascii="Calibri" w:cs="Tahoma" w:hAnsi="Calibri"/>
          <w:lang w:val="pl-PL"/>
        </w:rPr>
        <w:t>poręczeniach udzielanych przez podmioty, o których mowa w art. 6 ust. 3 pkt. 4 lit. b ustawy z dnia 9 listopada 2000 r. o utworzeniu Polskiej Agencji Rozwoju Przedsiębiorczości (Dz. U. Nr 109, poz. 1158 oraz z 2002 r. Nr 25, poz. 253, Nr 66, poz. 596 i Nr 216, poz. 1824).</w:t>
      </w:r>
    </w:p>
    <w:p>
      <w:pPr>
        <w:pStyle w:val="style0"/>
        <w:numPr>
          <w:ilvl w:val="0"/>
          <w:numId w:val="15"/>
        </w:numPr>
        <w:jc w:val="both"/>
      </w:pPr>
      <w:r>
        <w:rPr>
          <w:rFonts w:ascii="Calibri" w:cs="Tahoma" w:hAnsi="Calibri"/>
          <w:lang w:val="pl-PL"/>
        </w:rPr>
        <w:t>Zabezpieczenie należytego wykonania umowy wnoszone w formie pieniężnej zostanie wniesione na wskazany rachunek bankowy Zamawiającego.</w:t>
      </w:r>
    </w:p>
    <w:p>
      <w:pPr>
        <w:pStyle w:val="style0"/>
        <w:numPr>
          <w:ilvl w:val="0"/>
          <w:numId w:val="15"/>
        </w:numPr>
        <w:jc w:val="both"/>
      </w:pPr>
      <w:r>
        <w:rPr>
          <w:rFonts w:ascii="Calibri" w:cs="Tahoma" w:hAnsi="Calibri"/>
          <w:lang w:val="pl-PL"/>
        </w:rPr>
        <w:t>Na wniosek Wykonawcy wadium wniesione w pieniądzu zostanie zaliczone na poczet zabezpieczenia należytego wykonania umowy.</w:t>
      </w:r>
    </w:p>
    <w:p>
      <w:pPr>
        <w:pStyle w:val="style0"/>
        <w:numPr>
          <w:ilvl w:val="0"/>
          <w:numId w:val="15"/>
        </w:numPr>
        <w:jc w:val="both"/>
      </w:pPr>
      <w:r>
        <w:rPr>
          <w:rFonts w:ascii="Calibri" w:cs="Tahoma" w:hAnsi="Calibri"/>
          <w:lang w:val="pl-PL"/>
        </w:rPr>
        <w:t>Zamawiający zwróci 70% kwoty zabezpieczenia w terminie 30 dni od dnia wykonania zamówienia i uznania przez zamawiającego za należycie wykonane. (na podstawie protokołu odbioru końcowego).</w:t>
      </w:r>
    </w:p>
    <w:p>
      <w:pPr>
        <w:pStyle w:val="style0"/>
        <w:numPr>
          <w:ilvl w:val="0"/>
          <w:numId w:val="15"/>
        </w:numPr>
        <w:jc w:val="both"/>
      </w:pPr>
      <w:r>
        <w:rPr>
          <w:rFonts w:ascii="Calibri" w:cs="Tahoma" w:hAnsi="Calibri"/>
          <w:lang w:val="pl-PL"/>
        </w:rPr>
        <w:t>Pozostałe 30% zatrzymane zostanie na zabezpieczenie roszczeń z tytułu rękojmi za wady i gwarancji jakości i zostanie zwrócone nie później niż w 15 dniu po upływie okresu rękojmi za wady lub gwarancji jakości.</w:t>
      </w:r>
    </w:p>
    <w:p>
      <w:pPr>
        <w:pStyle w:val="style0"/>
        <w:jc w:val="both"/>
      </w:pPr>
      <w:r>
        <w:rPr>
          <w:rFonts w:ascii="Calibri" w:cs="Tahoma" w:hAnsi="Calibri"/>
          <w:b/>
          <w:lang w:val="pl-PL"/>
        </w:rPr>
        <w:t>X. MIEJSCE ORAZ TERMIN SKŁADANIA I OTWARCIA OFERT</w:t>
      </w:r>
    </w:p>
    <w:p>
      <w:pPr>
        <w:pStyle w:val="style0"/>
        <w:numPr>
          <w:ilvl w:val="0"/>
          <w:numId w:val="1"/>
        </w:numPr>
        <w:tabs>
          <w:tab w:leader="none" w:pos="2520" w:val="left"/>
        </w:tabs>
        <w:ind w:hanging="360" w:left="1080" w:right="0"/>
        <w:jc w:val="both"/>
      </w:pPr>
      <w:r>
        <w:rPr>
          <w:rFonts w:ascii="Calibri" w:cs="Tahoma" w:hAnsi="Calibri"/>
          <w:lang w:val="pl-PL"/>
        </w:rPr>
        <w:t>Ofertę należy złożyć w siedzibie Zamawiającego tj.: Narwiański Park Narodowy do dnia 17 lipca 2013 r. do godz. 9.00. Doręczenie oferty do innego miejsca niż wskazanego w ust. 1 nie jest równoznaczne ze złożeniem oferty w sposób skuteczny. Oferty otrzymane przez Zamawiającego po terminie zostaną zwrócone bez otwierania.</w:t>
      </w:r>
    </w:p>
    <w:p>
      <w:pPr>
        <w:pStyle w:val="style0"/>
        <w:numPr>
          <w:ilvl w:val="0"/>
          <w:numId w:val="1"/>
        </w:numPr>
        <w:tabs>
          <w:tab w:leader="none" w:pos="2520" w:val="left"/>
        </w:tabs>
        <w:ind w:hanging="360" w:left="1080" w:right="0"/>
        <w:jc w:val="both"/>
      </w:pPr>
      <w:r>
        <w:rPr>
          <w:rFonts w:ascii="Calibri" w:cs="Tahoma" w:hAnsi="Calibri"/>
          <w:lang w:val="pl-PL"/>
        </w:rPr>
        <w:t xml:space="preserve">Otwarcie ofert nastąpi w siedzibie Zamawiającego tj.: Narwiański Park Narodowy, dnia 17 lipca </w:t>
      </w:r>
      <w:bookmarkStart w:id="0" w:name="_GoBack"/>
      <w:bookmarkEnd w:id="0"/>
      <w:r>
        <w:rPr>
          <w:rFonts w:ascii="Calibri" w:cs="Tahoma" w:hAnsi="Calibri"/>
          <w:lang w:val="pl-PL"/>
        </w:rPr>
        <w:t>2013 r. do godz. 9.30. Otwarcie ofert jest jawne.</w:t>
      </w:r>
    </w:p>
    <w:p>
      <w:pPr>
        <w:pStyle w:val="style0"/>
        <w:numPr>
          <w:ilvl w:val="0"/>
          <w:numId w:val="1"/>
        </w:numPr>
        <w:tabs>
          <w:tab w:leader="none" w:pos="2520" w:val="left"/>
        </w:tabs>
        <w:ind w:hanging="360" w:left="1080" w:right="0"/>
        <w:jc w:val="both"/>
      </w:pPr>
      <w:r>
        <w:rPr>
          <w:rFonts w:ascii="Calibri" w:cs="Tahoma" w:hAnsi="Calibri"/>
          <w:lang w:val="pl-PL"/>
        </w:rPr>
        <w:t>Po otwarciu ofert podaje się imię i nazwisko, nazwę (firmę) oraz adres (siedzibę) wykonawcy, którego oferta jest otwierana, a także informacje dotyczące ceny oferty, terminu wykonania zamówienia, okresu gwarancji, warunków płatności zawartych w ofercie.</w:t>
      </w:r>
    </w:p>
    <w:p>
      <w:pPr>
        <w:pStyle w:val="style0"/>
        <w:numPr>
          <w:ilvl w:val="0"/>
          <w:numId w:val="1"/>
        </w:numPr>
        <w:tabs>
          <w:tab w:leader="none" w:pos="2520" w:val="left"/>
        </w:tabs>
        <w:ind w:hanging="360" w:left="1080" w:right="0"/>
        <w:jc w:val="both"/>
      </w:pPr>
      <w:r>
        <w:rPr>
          <w:rFonts w:ascii="Calibri" w:cs="Tahoma" w:hAnsi="Calibri"/>
          <w:lang w:val="pl-PL"/>
        </w:rPr>
        <w:t>Informacje, o których mowa w punkcie 2 doręcza się wykonawcom, którzy nie byli obecni na sesji otwarcia ofert, na ich pisemny wniosek.</w:t>
      </w:r>
    </w:p>
    <w:p>
      <w:pPr>
        <w:pStyle w:val="style34"/>
      </w:pPr>
      <w:r>
        <w:rPr>
          <w:rFonts w:ascii="Calibri" w:cs="Tahoma" w:hAnsi="Calibri"/>
          <w:sz w:val="24"/>
          <w:szCs w:val="24"/>
          <w:lang w:val="pl-PL"/>
        </w:rPr>
        <w:t xml:space="preserve">XI. INFORMACJA O SPOSOBIE POROZUMIEWANIA SIĘ ZAMAWIAJĄCEGO Z WYKONAWCAMI ORAZ PRZEKAZYWANIA OŚWIADCZEŃ I DOKUMENTÓW </w:t>
      </w:r>
    </w:p>
    <w:p>
      <w:pPr>
        <w:pStyle w:val="style34"/>
        <w:numPr>
          <w:ilvl w:val="0"/>
          <w:numId w:val="14"/>
        </w:numPr>
      </w:pPr>
      <w:r>
        <w:rPr>
          <w:rFonts w:ascii="Calibri" w:cs="Tahoma" w:hAnsi="Calibri"/>
          <w:b w:val="false"/>
          <w:sz w:val="24"/>
          <w:szCs w:val="24"/>
          <w:lang w:val="pl-PL"/>
        </w:rPr>
        <w:t>Postępowanie o udzielenie zamówienia, z zastrzeżeniem wyjątków określonych w ustawie, prowadzi się z zachowaniem formy pisemnej.</w:t>
      </w:r>
    </w:p>
    <w:p>
      <w:pPr>
        <w:pStyle w:val="style34"/>
        <w:ind w:firstLine="708" w:left="0" w:right="0"/>
      </w:pPr>
      <w:r>
        <w:rPr>
          <w:rFonts w:ascii="Calibri" w:cs="Tahoma" w:hAnsi="Calibri"/>
          <w:sz w:val="24"/>
          <w:szCs w:val="24"/>
          <w:lang w:val="pl-PL"/>
        </w:rPr>
        <w:t>Adres do korespondencji:</w:t>
      </w:r>
    </w:p>
    <w:p>
      <w:pPr>
        <w:pStyle w:val="style34"/>
        <w:tabs>
          <w:tab w:leader="none" w:pos="1080" w:val="left"/>
        </w:tabs>
        <w:ind w:hanging="0" w:left="360" w:right="0"/>
        <w:jc w:val="center"/>
      </w:pPr>
      <w:r>
        <w:rPr>
          <w:rFonts w:ascii="Calibri" w:cs="Tahoma" w:hAnsi="Calibri"/>
          <w:sz w:val="24"/>
          <w:szCs w:val="24"/>
          <w:lang w:val="pl-PL"/>
        </w:rPr>
        <w:t>Narwiański Park Narodowy</w:t>
      </w:r>
    </w:p>
    <w:p>
      <w:pPr>
        <w:pStyle w:val="style34"/>
        <w:tabs>
          <w:tab w:leader="none" w:pos="1080" w:val="left"/>
        </w:tabs>
        <w:ind w:hanging="0" w:left="360" w:right="0"/>
        <w:jc w:val="center"/>
      </w:pPr>
      <w:r>
        <w:rPr>
          <w:rFonts w:ascii="Calibri" w:cs="Tahoma" w:hAnsi="Calibri"/>
          <w:sz w:val="24"/>
          <w:szCs w:val="24"/>
          <w:lang w:val="pl-PL"/>
        </w:rPr>
        <w:t>Kurowo 10</w:t>
      </w:r>
    </w:p>
    <w:p>
      <w:pPr>
        <w:pStyle w:val="style34"/>
        <w:tabs>
          <w:tab w:leader="none" w:pos="1080" w:val="left"/>
        </w:tabs>
        <w:ind w:hanging="0" w:left="360" w:right="0"/>
        <w:jc w:val="center"/>
      </w:pPr>
      <w:r>
        <w:rPr>
          <w:rFonts w:ascii="Calibri" w:cs="Tahoma" w:hAnsi="Calibri"/>
          <w:sz w:val="24"/>
          <w:szCs w:val="24"/>
          <w:lang w:val="pl-PL"/>
        </w:rPr>
        <w:t>18-204 Kobylin Borzymy</w:t>
      </w:r>
    </w:p>
    <w:p>
      <w:pPr>
        <w:pStyle w:val="style34"/>
        <w:tabs>
          <w:tab w:leader="none" w:pos="1080" w:val="left"/>
        </w:tabs>
        <w:ind w:hanging="0" w:left="360" w:right="0"/>
        <w:jc w:val="center"/>
      </w:pPr>
      <w:r>
        <w:rPr>
          <w:rFonts w:ascii="Calibri" w:cs="Tahoma" w:hAnsi="Calibri"/>
          <w:sz w:val="24"/>
          <w:szCs w:val="24"/>
          <w:lang w:val="pl-PL"/>
        </w:rPr>
        <w:t xml:space="preserve">fax: 85 718 14 17, e-mail: </w:t>
      </w:r>
      <w:hyperlink r:id="rId2">
        <w:r>
          <w:rPr>
            <w:rStyle w:val="style16"/>
            <w:rStyle w:val="style16"/>
            <w:rFonts w:ascii="Calibri" w:cs="Tahoma" w:hAnsi="Calibri"/>
            <w:sz w:val="24"/>
            <w:szCs w:val="24"/>
            <w:lang w:val="pl-PL"/>
          </w:rPr>
          <w:t>npn@npn.pl</w:t>
        </w:r>
      </w:hyperlink>
    </w:p>
    <w:p>
      <w:pPr>
        <w:pStyle w:val="style34"/>
        <w:tabs>
          <w:tab w:leader="none" w:pos="1080" w:val="left"/>
        </w:tabs>
        <w:ind w:hanging="0" w:left="360" w:right="0"/>
      </w:pPr>
      <w:r>
        <w:rPr/>
      </w:r>
    </w:p>
    <w:p>
      <w:pPr>
        <w:pStyle w:val="style34"/>
        <w:numPr>
          <w:ilvl w:val="0"/>
          <w:numId w:val="14"/>
        </w:numPr>
      </w:pPr>
      <w:r>
        <w:rPr>
          <w:rFonts w:ascii="Calibri" w:cs="Tahoma" w:hAnsi="Calibri"/>
          <w:b w:val="false"/>
          <w:sz w:val="24"/>
          <w:szCs w:val="24"/>
          <w:lang w:val="pl-PL"/>
        </w:rPr>
        <w:t>Oświadczenia, wnioski, zawiadomienia oraz informacje przekazane za pomocą faxu lub drogą elektroniczną uważa się za złożone w terminie, jeżeli ich treść dotarła do adresata przed upływem terminu i została niezwłocznie potwierdzona pisemnie.</w:t>
      </w:r>
    </w:p>
    <w:p>
      <w:pPr>
        <w:pStyle w:val="style34"/>
        <w:numPr>
          <w:ilvl w:val="0"/>
          <w:numId w:val="14"/>
        </w:numPr>
      </w:pPr>
      <w:r>
        <w:rPr>
          <w:rFonts w:ascii="Calibri" w:cs="Tahoma" w:hAnsi="Calibri"/>
          <w:b w:val="false"/>
          <w:sz w:val="24"/>
          <w:szCs w:val="24"/>
          <w:lang w:val="pl-PL"/>
        </w:rPr>
        <w:t>Zamawiający przyjmuje wszelkie pisma w godzinach od 8.00 do 15.00.</w:t>
      </w:r>
    </w:p>
    <w:p>
      <w:pPr>
        <w:pStyle w:val="style34"/>
        <w:numPr>
          <w:ilvl w:val="0"/>
          <w:numId w:val="14"/>
        </w:numPr>
      </w:pPr>
      <w:r>
        <w:rPr>
          <w:rFonts w:ascii="Calibri" w:cs="Tahoma" w:hAnsi="Calibri"/>
          <w:b w:val="false"/>
          <w:sz w:val="24"/>
          <w:szCs w:val="24"/>
          <w:lang w:val="pl-PL"/>
        </w:rPr>
        <w:t xml:space="preserve">W szczególnie uzasadnionych przypadkach, przed upływem terminu składania ofert, zamawiający może zmodyfikować treść SIWZ. Dokonana modyfikacja zostanie niezwłocznie przekazana wykonawcom, którym przekazano SIWZ oraz zamieszczona na stronie internetowej. </w:t>
      </w:r>
    </w:p>
    <w:p>
      <w:pPr>
        <w:pStyle w:val="style34"/>
        <w:numPr>
          <w:ilvl w:val="0"/>
          <w:numId w:val="14"/>
        </w:numPr>
      </w:pPr>
      <w:r>
        <w:rPr>
          <w:rFonts w:ascii="Calibri" w:cs="Tahoma" w:hAnsi="Calibri"/>
          <w:b w:val="false"/>
          <w:sz w:val="24"/>
          <w:szCs w:val="24"/>
          <w:lang w:val="pl-PL"/>
        </w:rPr>
        <w:t>W przypadku, gdy modyfikacja treści SIWZ powodować będzie konieczność wprowadzenia zmian oferty, Zamawiający przedłuży termin składania ofert.</w:t>
      </w:r>
    </w:p>
    <w:p>
      <w:pPr>
        <w:pStyle w:val="style34"/>
        <w:numPr>
          <w:ilvl w:val="0"/>
          <w:numId w:val="14"/>
        </w:numPr>
      </w:pPr>
      <w:r>
        <w:rPr>
          <w:rFonts w:ascii="Calibri" w:cs="Tahoma" w:hAnsi="Calibri"/>
          <w:b w:val="false"/>
          <w:sz w:val="24"/>
          <w:szCs w:val="24"/>
          <w:lang w:val="pl-PL"/>
        </w:rPr>
        <w:t>OSOBY UPRAWNIONE PRZEZ ZAMAWIAJĄCEGO DO POROZUMIEWANIA SIĘ Z WYKONAWCAMI</w:t>
      </w:r>
    </w:p>
    <w:p>
      <w:pPr>
        <w:pStyle w:val="style0"/>
        <w:ind w:firstLine="168" w:left="540" w:right="0"/>
        <w:jc w:val="both"/>
      </w:pPr>
      <w:r>
        <w:rPr>
          <w:rFonts w:ascii="Calibri" w:cs="Tahoma" w:hAnsi="Calibri"/>
          <w:lang w:val="pl-PL"/>
        </w:rPr>
        <w:t>Osobą uprawnioną przez Zamawiającego do porozumiewania się z wykonawcami jest:</w:t>
      </w:r>
    </w:p>
    <w:p>
      <w:pPr>
        <w:pStyle w:val="style0"/>
        <w:ind w:firstLine="360" w:left="0" w:right="0"/>
        <w:jc w:val="center"/>
      </w:pPr>
      <w:r>
        <w:rPr>
          <w:rFonts w:ascii="Calibri" w:cs="Tahoma" w:hAnsi="Calibri"/>
          <w:lang w:val="pl-PL"/>
        </w:rPr>
        <w:t>Marzenna Bielonko – tel. 85 718 14 17 w. 42</w:t>
      </w:r>
    </w:p>
    <w:p>
      <w:pPr>
        <w:pStyle w:val="style0"/>
      </w:pPr>
      <w:r>
        <w:rPr/>
      </w:r>
    </w:p>
    <w:p>
      <w:pPr>
        <w:pStyle w:val="style44"/>
        <w:tabs>
          <w:tab w:leader="none" w:pos="502" w:val="left"/>
          <w:tab w:leader="none" w:pos="1428" w:val="left"/>
        </w:tabs>
        <w:ind w:hanging="360" w:left="360" w:right="70"/>
        <w:jc w:val="both"/>
      </w:pPr>
      <w:r>
        <w:rPr>
          <w:rFonts w:ascii="Calibri" w:cs="Tahoma" w:hAnsi="Calibri"/>
          <w:sz w:val="24"/>
          <w:szCs w:val="24"/>
          <w:lang w:val="pl-PL"/>
        </w:rPr>
        <w:t>XII. TERMIN ZWIĄZANIA OFERTĄ</w:t>
      </w:r>
    </w:p>
    <w:p>
      <w:pPr>
        <w:pStyle w:val="style0"/>
        <w:numPr>
          <w:ilvl w:val="0"/>
          <w:numId w:val="13"/>
        </w:numPr>
      </w:pPr>
      <w:r>
        <w:rPr>
          <w:rFonts w:ascii="Calibri" w:cs="Tahoma" w:hAnsi="Calibri"/>
          <w:lang w:val="pl-PL"/>
        </w:rPr>
        <w:t>Wykonawca jest związany ofertą do upływu terminu, który trwa 30 dni.</w:t>
      </w:r>
    </w:p>
    <w:p>
      <w:pPr>
        <w:pStyle w:val="style0"/>
        <w:numPr>
          <w:ilvl w:val="0"/>
          <w:numId w:val="13"/>
        </w:numPr>
      </w:pPr>
      <w:r>
        <w:rPr>
          <w:rFonts w:ascii="Calibri" w:cs="Tahoma" w:hAnsi="Calibri"/>
          <w:lang w:val="pl-PL"/>
        </w:rPr>
        <w:t>Bieg terminu związania ofertą rozpoczyna się wraz z upływem terminu składania ofert.</w:t>
      </w:r>
    </w:p>
    <w:p>
      <w:pPr>
        <w:pStyle w:val="style5"/>
      </w:pPr>
      <w:r>
        <w:rPr/>
      </w:r>
    </w:p>
    <w:p>
      <w:pPr>
        <w:pStyle w:val="style5"/>
      </w:pPr>
      <w:r>
        <w:rPr>
          <w:rFonts w:ascii="Calibri" w:cs="Tahoma" w:hAnsi="Calibri"/>
          <w:sz w:val="24"/>
          <w:szCs w:val="24"/>
          <w:lang w:val="pl-PL"/>
        </w:rPr>
        <w:t>XIII. KRYTERIA I TRYB OCENY OFERT</w:t>
      </w:r>
    </w:p>
    <w:p>
      <w:pPr>
        <w:pStyle w:val="style0"/>
      </w:pPr>
      <w:r>
        <w:rPr/>
      </w:r>
    </w:p>
    <w:p>
      <w:pPr>
        <w:pStyle w:val="style0"/>
        <w:numPr>
          <w:ilvl w:val="0"/>
          <w:numId w:val="2"/>
        </w:numPr>
        <w:jc w:val="both"/>
      </w:pPr>
      <w:r>
        <w:rPr>
          <w:rFonts w:ascii="Calibri" w:cs="Tahoma" w:hAnsi="Calibri"/>
          <w:lang w:val="pl-PL"/>
        </w:rPr>
        <w:t>Przy wyborze oferty zamawiający będzie się kierował następującymi kryteriami i ich znaczeniem:</w:t>
      </w:r>
    </w:p>
    <w:p>
      <w:pPr>
        <w:pStyle w:val="style0"/>
        <w:numPr>
          <w:ilvl w:val="0"/>
          <w:numId w:val="3"/>
        </w:numPr>
        <w:ind w:hanging="360" w:left="360" w:right="0"/>
        <w:jc w:val="both"/>
      </w:pPr>
      <w:r>
        <w:rPr>
          <w:rFonts w:ascii="Calibri" w:cs="Tahoma" w:hAnsi="Calibri"/>
          <w:b/>
          <w:lang w:val="pl-PL"/>
        </w:rPr>
        <w:t>cena ofertowa –100 %,</w:t>
      </w:r>
    </w:p>
    <w:p>
      <w:pPr>
        <w:pStyle w:val="style0"/>
        <w:jc w:val="both"/>
      </w:pPr>
      <w:r>
        <w:rPr>
          <w:rFonts w:ascii="Calibri" w:cs="Tahoma" w:hAnsi="Calibri"/>
          <w:lang w:val="pl-PL"/>
        </w:rPr>
        <w:t>Zamawiający dokona oceny złożonych ofert według następującego wzoru:</w:t>
      </w:r>
    </w:p>
    <w:p>
      <w:pPr>
        <w:pStyle w:val="style0"/>
        <w:jc w:val="center"/>
      </w:pPr>
      <w:r>
        <w:rPr>
          <w:rFonts w:ascii="Calibri" w:cs="Tahoma" w:hAnsi="Calibri"/>
          <w:b/>
          <w:lang w:val="en-US"/>
        </w:rPr>
        <w:t>(C min/C of) x 100 pkt.</w:t>
      </w:r>
    </w:p>
    <w:p>
      <w:pPr>
        <w:pStyle w:val="style0"/>
      </w:pPr>
      <w:r>
        <w:rPr>
          <w:rFonts w:ascii="Calibri" w:cs="Tahoma" w:hAnsi="Calibri"/>
          <w:i/>
          <w:lang w:val="pl-PL"/>
        </w:rPr>
        <w:t>gdzie:</w:t>
      </w:r>
    </w:p>
    <w:p>
      <w:pPr>
        <w:pStyle w:val="style0"/>
      </w:pPr>
      <w:r>
        <w:rPr>
          <w:rFonts w:ascii="Calibri" w:cs="Tahoma" w:hAnsi="Calibri"/>
          <w:b/>
          <w:lang w:val="pl-PL"/>
        </w:rPr>
        <w:t xml:space="preserve">C min </w:t>
      </w:r>
      <w:r>
        <w:rPr>
          <w:rFonts w:ascii="Calibri" w:cs="Tahoma" w:hAnsi="Calibri"/>
          <w:lang w:val="pl-PL"/>
        </w:rPr>
        <w:t>– najniższa cena spośród ofert nieodrzuconych</w:t>
      </w:r>
    </w:p>
    <w:p>
      <w:pPr>
        <w:pStyle w:val="style0"/>
      </w:pPr>
      <w:r>
        <w:rPr>
          <w:rFonts w:ascii="Calibri" w:cs="Tahoma" w:hAnsi="Calibri"/>
          <w:b/>
          <w:lang w:val="pl-PL"/>
        </w:rPr>
        <w:t xml:space="preserve">C of </w:t>
      </w:r>
      <w:r>
        <w:rPr>
          <w:rFonts w:ascii="Calibri" w:cs="Tahoma" w:hAnsi="Calibri"/>
          <w:lang w:val="pl-PL"/>
        </w:rPr>
        <w:t>– cena oferty rozpatrywanej</w:t>
      </w:r>
    </w:p>
    <w:p>
      <w:pPr>
        <w:pStyle w:val="style0"/>
      </w:pPr>
      <w:r>
        <w:rPr>
          <w:rFonts w:ascii="Calibri" w:cs="Tahoma" w:hAnsi="Calibri"/>
          <w:b/>
          <w:lang w:val="pl-PL"/>
        </w:rPr>
        <w:t>1pkt = 1%</w:t>
      </w:r>
    </w:p>
    <w:p>
      <w:pPr>
        <w:pStyle w:val="style0"/>
        <w:jc w:val="both"/>
      </w:pPr>
      <w:r>
        <w:rPr>
          <w:rFonts w:ascii="Calibri" w:cs="Tahoma" w:hAnsi="Calibri"/>
          <w:lang w:val="pl-PL"/>
        </w:rPr>
        <w:t xml:space="preserve">Za ofertę najkorzystniejszą uznana zostanie oferta, która zaoferowała </w:t>
      </w:r>
      <w:r>
        <w:rPr>
          <w:rFonts w:ascii="Calibri" w:cs="Tahoma" w:hAnsi="Calibri"/>
          <w:b/>
          <w:lang w:val="pl-PL"/>
        </w:rPr>
        <w:t>najniższą cenę ofertową</w:t>
      </w:r>
      <w:r>
        <w:rPr>
          <w:rFonts w:ascii="Calibri" w:cs="Tahoma" w:hAnsi="Calibri"/>
          <w:lang w:val="pl-PL"/>
        </w:rPr>
        <w:t xml:space="preserve">, czyli uzyska </w:t>
      </w:r>
      <w:r>
        <w:rPr>
          <w:rFonts w:ascii="Calibri" w:cs="Tahoma" w:hAnsi="Calibri"/>
          <w:b/>
          <w:lang w:val="pl-PL"/>
        </w:rPr>
        <w:t>największą ilość punktów.</w:t>
      </w:r>
    </w:p>
    <w:p>
      <w:pPr>
        <w:pStyle w:val="style0"/>
        <w:numPr>
          <w:ilvl w:val="0"/>
          <w:numId w:val="2"/>
        </w:numPr>
        <w:jc w:val="both"/>
      </w:pPr>
      <w:r>
        <w:rPr>
          <w:rFonts w:ascii="Calibri" w:cs="Tahoma" w:hAnsi="Calibri"/>
          <w:lang w:val="pl-PL"/>
        </w:rPr>
        <w:t>W toku oceny ofert zamawiający może żądać od wykonawcy pisemnych wyjaśnień dotyczących treści złożonej oferty.</w:t>
      </w:r>
    </w:p>
    <w:p>
      <w:pPr>
        <w:pStyle w:val="style0"/>
        <w:numPr>
          <w:ilvl w:val="0"/>
          <w:numId w:val="2"/>
        </w:numPr>
        <w:jc w:val="both"/>
      </w:pPr>
      <w:r>
        <w:rPr>
          <w:rFonts w:ascii="Calibri" w:cs="Tahoma" w:hAnsi="Calibri"/>
          <w:lang w:val="pl-PL"/>
        </w:rPr>
        <w:t>Niedopuszczalne jest prowadzenie negocjacji między Zamawiającym a Wykonawcą dotyczących złożonej oferty, z zastrzeżeniem art. 87 ust. 1a i 2, oraz dokonywanie jakichkolwiek zmian w treści złożonej oferty.</w:t>
      </w:r>
    </w:p>
    <w:p>
      <w:pPr>
        <w:pStyle w:val="style0"/>
        <w:numPr>
          <w:ilvl w:val="0"/>
          <w:numId w:val="2"/>
        </w:numPr>
        <w:jc w:val="both"/>
      </w:pPr>
      <w:r>
        <w:rPr>
          <w:rFonts w:ascii="Calibri" w:cs="Tahoma" w:hAnsi="Calibri"/>
          <w:lang w:val="pl-PL"/>
        </w:rPr>
        <w:t xml:space="preserve">Zamawiający w tekście oferty poprawi oczywiste omyłki pisarskie oraz omyłki rachunkowe w obliczeniu ceny wg zasad określonych w art. 88 ust. 1 ustawy Prawo zamówień publicznych uwzględniając konsekwencje rachunkowe dokonanych poprawek. </w:t>
      </w:r>
    </w:p>
    <w:p>
      <w:pPr>
        <w:pStyle w:val="style0"/>
        <w:numPr>
          <w:ilvl w:val="0"/>
          <w:numId w:val="2"/>
        </w:numPr>
        <w:jc w:val="both"/>
      </w:pPr>
      <w:r>
        <w:rPr>
          <w:rFonts w:ascii="Calibri" w:cs="Tahoma" w:hAnsi="Calibri"/>
          <w:lang w:val="pl-PL"/>
        </w:rPr>
        <w:t>O wniesionych poprawkach zamawiający powiadomi wszystkich wykonawców, którzy złożyli oferty.</w:t>
      </w:r>
    </w:p>
    <w:p>
      <w:pPr>
        <w:pStyle w:val="style0"/>
        <w:ind w:hanging="540" w:left="540" w:right="0"/>
      </w:pPr>
      <w:r>
        <w:rPr/>
      </w:r>
    </w:p>
    <w:p>
      <w:pPr>
        <w:pStyle w:val="style0"/>
        <w:ind w:hanging="540" w:left="540" w:right="0"/>
        <w:jc w:val="both"/>
      </w:pPr>
      <w:r>
        <w:rPr>
          <w:rFonts w:ascii="Calibri" w:cs="Tahoma" w:hAnsi="Calibri"/>
          <w:b/>
          <w:lang w:val="pl-PL"/>
        </w:rPr>
        <w:t>XIV. MIĘDZY ZAMAWIAJĄCYM A WYKONAWCĄ NIE BĘDĄ PROWADZONE ROZLICZENIA W WALUTACH OBCYCH</w:t>
      </w:r>
    </w:p>
    <w:p>
      <w:pPr>
        <w:pStyle w:val="style0"/>
        <w:ind w:hanging="540" w:left="540" w:right="0"/>
      </w:pPr>
      <w:r>
        <w:rPr/>
      </w:r>
    </w:p>
    <w:p>
      <w:pPr>
        <w:pStyle w:val="style0"/>
        <w:ind w:hanging="540" w:left="540" w:right="0"/>
        <w:jc w:val="both"/>
      </w:pPr>
      <w:r>
        <w:rPr>
          <w:rFonts w:ascii="Calibri" w:cs="Tahoma" w:hAnsi="Calibri"/>
          <w:b/>
          <w:lang w:val="pl-PL"/>
        </w:rPr>
        <w:t>XV. POUCZENIE O ŚRODKACH OCHRONY PRAWNEJ PRZYSŁUGUJĄCYCH WYKONAWCY W TOKU POSTĘPOWANIA O ZAMÓWIENIE PUBLICZNE</w:t>
      </w:r>
    </w:p>
    <w:p>
      <w:pPr>
        <w:pStyle w:val="style0"/>
        <w:jc w:val="both"/>
      </w:pPr>
      <w:r>
        <w:rPr/>
      </w:r>
    </w:p>
    <w:p>
      <w:pPr>
        <w:pStyle w:val="style34"/>
      </w:pPr>
      <w:r>
        <w:rPr>
          <w:rFonts w:ascii="Calibri" w:cs="Tahoma" w:hAnsi="Calibri"/>
          <w:b w:val="false"/>
          <w:lang w:val="pl-PL"/>
        </w:rPr>
        <w:t xml:space="preserve">Każdemu Wykonawcy, a także innemu podmiotowi, jeżeli ma lub miał interes w uzyskaniu danego zamówienia oraz poniósł lub może ponieść szkodę w wyniku naruszenia przez Zamawiającego przepisów ustawy Pzp, przysługują środki ochrony prawnej przewidziane w Dziale VI ustawy Pzp. Środki ochrony prawnej wobec ogłoszenia o zamówieniu oraz specyfikacji istotnych warunków zamówienia przysługują również organizacjom wpisanym na listę, o której mowa w art.154 pkt 5 ustawy Pzp. </w:t>
      </w:r>
    </w:p>
    <w:p>
      <w:pPr>
        <w:pStyle w:val="style34"/>
      </w:pPr>
      <w:r>
        <w:rPr/>
      </w:r>
    </w:p>
    <w:p>
      <w:pPr>
        <w:pStyle w:val="style34"/>
        <w:ind w:hanging="360" w:left="360" w:right="0"/>
      </w:pPr>
      <w:r>
        <w:rPr>
          <w:rFonts w:ascii="Calibri" w:cs="Tahoma" w:hAnsi="Calibri"/>
          <w:sz w:val="24"/>
          <w:szCs w:val="24"/>
          <w:lang w:val="pl-PL"/>
        </w:rPr>
        <w:t xml:space="preserve">XVI. FORMALNOŚCI JAKIE POWINNY ZOSTAĆ DOPEŁNIONE PO WYBORZE OFERTY W CELU ZAWARCIA UMOWY W SPRAWIE ZAMÓWIENIA PUBLICZNEGO. </w:t>
      </w:r>
    </w:p>
    <w:p>
      <w:pPr>
        <w:pStyle w:val="style0"/>
        <w:numPr>
          <w:ilvl w:val="1"/>
          <w:numId w:val="4"/>
        </w:numPr>
        <w:tabs>
          <w:tab w:leader="none" w:pos="2160" w:val="left"/>
        </w:tabs>
        <w:ind w:hanging="360" w:left="1440" w:right="0"/>
        <w:jc w:val="both"/>
      </w:pPr>
      <w:r>
        <w:rPr>
          <w:rFonts w:ascii="Calibri" w:cs="Tahoma" w:hAnsi="Calibri"/>
          <w:lang w:val="pl-PL"/>
        </w:rPr>
        <w:t>Zamawiający udzieli zamówienia wykonawcy, którego oferta odpowiada wszystkim wymaganiom przedstawionym w ustawie Prawo zamówień publicznych oraz SIWZ i została oceniona jako najkorzystniejsza w oparciu o podane kryteria wyboru.</w:t>
      </w:r>
    </w:p>
    <w:p>
      <w:pPr>
        <w:pStyle w:val="style0"/>
        <w:numPr>
          <w:ilvl w:val="1"/>
          <w:numId w:val="4"/>
        </w:numPr>
        <w:tabs>
          <w:tab w:leader="none" w:pos="2160" w:val="left"/>
        </w:tabs>
        <w:ind w:hanging="360" w:left="1440" w:right="0"/>
        <w:jc w:val="both"/>
      </w:pPr>
      <w:r>
        <w:rPr>
          <w:rFonts w:ascii="Calibri" w:cs="Tahoma" w:hAnsi="Calibri"/>
          <w:lang w:val="pl-PL"/>
        </w:rPr>
        <w:t>Zamawiający powiadomi drogą elektroniczną lub faxem o wyborze oferty wszystkich wykonawców, którzy ubiegali się o zamówienie.</w:t>
      </w:r>
    </w:p>
    <w:p>
      <w:pPr>
        <w:pStyle w:val="style0"/>
        <w:numPr>
          <w:ilvl w:val="1"/>
          <w:numId w:val="4"/>
        </w:numPr>
        <w:tabs>
          <w:tab w:leader="none" w:pos="2160" w:val="left"/>
        </w:tabs>
        <w:ind w:hanging="360" w:left="1440" w:right="0"/>
        <w:jc w:val="both"/>
      </w:pPr>
      <w:r>
        <w:rPr>
          <w:rFonts w:ascii="Calibri" w:cs="Tahoma" w:hAnsi="Calibri"/>
          <w:lang w:val="pl-PL"/>
        </w:rPr>
        <w:t>Zamawiający zawrze umowę z wybranym wykonawcą w terminie zgodnym z zapisami art. 94 ustawy Prawo zamówiń publicznych.</w:t>
      </w:r>
    </w:p>
    <w:p>
      <w:pPr>
        <w:pStyle w:val="style0"/>
        <w:numPr>
          <w:ilvl w:val="1"/>
          <w:numId w:val="4"/>
        </w:numPr>
        <w:tabs>
          <w:tab w:leader="none" w:pos="2160" w:val="left"/>
        </w:tabs>
        <w:ind w:hanging="360" w:left="1440" w:right="0"/>
        <w:jc w:val="both"/>
      </w:pPr>
      <w:r>
        <w:rPr>
          <w:rFonts w:ascii="Calibri" w:cs="Tahoma" w:hAnsi="Calibri"/>
          <w:lang w:val="pl-PL"/>
        </w:rPr>
        <w:t>Jeżeli wykonawca, którego oferta została wybrana uchyla się od zawarcia umowy lub nie wnosi wymaganego zabezpieczenia należytego wykonania umowy zamawiający wybierze ofertę najkorzystniejszą spośród pozostałych ofert, chyba że zachodzą przesłanki, o których mowa w art. 93 ust. 1 Ustawy Pzp.</w:t>
      </w:r>
    </w:p>
    <w:p>
      <w:pPr>
        <w:pStyle w:val="style0"/>
        <w:tabs>
          <w:tab w:leader="none" w:pos="1440" w:val="left"/>
        </w:tabs>
        <w:jc w:val="both"/>
      </w:pPr>
      <w:r>
        <w:rPr/>
      </w:r>
    </w:p>
    <w:p>
      <w:pPr>
        <w:pStyle w:val="style5"/>
      </w:pPr>
      <w:r>
        <w:rPr>
          <w:rFonts w:ascii="Calibri" w:cs="Tahoma" w:hAnsi="Calibri"/>
          <w:sz w:val="24"/>
          <w:szCs w:val="24"/>
          <w:lang w:val="pl-PL"/>
        </w:rPr>
        <w:t>XVII. WZÓR UMOWY</w:t>
      </w:r>
    </w:p>
    <w:p>
      <w:pPr>
        <w:pStyle w:val="style0"/>
        <w:numPr>
          <w:ilvl w:val="0"/>
          <w:numId w:val="5"/>
        </w:numPr>
        <w:jc w:val="both"/>
      </w:pPr>
      <w:r>
        <w:rPr>
          <w:rFonts w:ascii="Calibri" w:cs="Tahoma" w:hAnsi="Calibri"/>
          <w:lang w:val="pl-PL"/>
        </w:rPr>
        <w:t>Wykonawca, który przedstawił najkorzystniejszą ofertę, będzie zobowiązany do podpisania umowy zgodnie z załączonym wzorem umowy.</w:t>
      </w:r>
    </w:p>
    <w:p>
      <w:pPr>
        <w:pStyle w:val="style0"/>
        <w:numPr>
          <w:ilvl w:val="0"/>
          <w:numId w:val="5"/>
        </w:numPr>
        <w:jc w:val="both"/>
      </w:pPr>
      <w:r>
        <w:rPr>
          <w:rFonts w:ascii="Calibri" w:cs="Tahoma" w:hAnsi="Calibri"/>
          <w:lang w:val="pl-PL"/>
        </w:rPr>
        <w:t>Złożenie oferty jest równoznaczne z pełną akceptacją umowy przez wykonawcę.</w:t>
      </w:r>
    </w:p>
    <w:p>
      <w:pPr>
        <w:pStyle w:val="style0"/>
        <w:numPr>
          <w:ilvl w:val="0"/>
          <w:numId w:val="5"/>
        </w:numPr>
        <w:jc w:val="both"/>
      </w:pPr>
      <w:r>
        <w:rPr>
          <w:rFonts w:ascii="Calibri" w:cs="Tahoma" w:hAnsi="Calibri"/>
          <w:lang w:val="pl-PL"/>
        </w:rPr>
        <w:t>Na etapie podpisania umowy Zamawiający będzie wymagał ustanowienia jednego pełnomocnika do reprezentowania wykonawców występujących wspólnie.</w:t>
      </w:r>
    </w:p>
    <w:p>
      <w:pPr>
        <w:pStyle w:val="style0"/>
        <w:jc w:val="both"/>
      </w:pPr>
      <w:r>
        <w:rPr/>
      </w:r>
    </w:p>
    <w:p>
      <w:pPr>
        <w:pStyle w:val="style0"/>
        <w:jc w:val="both"/>
      </w:pPr>
      <w:r>
        <w:rPr/>
      </w:r>
    </w:p>
    <w:p>
      <w:pPr>
        <w:pStyle w:val="style0"/>
        <w:jc w:val="both"/>
      </w:pPr>
      <w:r>
        <w:rPr>
          <w:rFonts w:ascii="Calibri" w:cs="Tahoma" w:hAnsi="Calibri"/>
          <w:b/>
          <w:lang w:val="pl-PL"/>
        </w:rPr>
        <w:t>XVIII. ZAMAWIAJĄCY NIE PRZEWIDUJE :</w:t>
      </w:r>
    </w:p>
    <w:p>
      <w:pPr>
        <w:pStyle w:val="style0"/>
        <w:numPr>
          <w:ilvl w:val="0"/>
          <w:numId w:val="29"/>
        </w:numPr>
      </w:pPr>
      <w:r>
        <w:rPr>
          <w:rFonts w:ascii="Calibri" w:cs="Tahoma" w:hAnsi="Calibri"/>
          <w:lang w:val="pl-PL"/>
        </w:rPr>
        <w:t>zawarcia umowy ramowej,</w:t>
      </w:r>
    </w:p>
    <w:p>
      <w:pPr>
        <w:pStyle w:val="style0"/>
        <w:numPr>
          <w:ilvl w:val="0"/>
          <w:numId w:val="29"/>
        </w:numPr>
      </w:pPr>
      <w:r>
        <w:rPr>
          <w:rFonts w:ascii="Calibri" w:cs="Tahoma" w:hAnsi="Calibri"/>
          <w:lang w:val="pl-PL"/>
        </w:rPr>
        <w:t>udzielenia zamówień uzupełniających, o których mowa w art. 67 ust. 1 pkt. 6 ustawy,</w:t>
      </w:r>
    </w:p>
    <w:p>
      <w:pPr>
        <w:pStyle w:val="style0"/>
        <w:numPr>
          <w:ilvl w:val="0"/>
          <w:numId w:val="29"/>
        </w:numPr>
        <w:jc w:val="both"/>
      </w:pPr>
      <w:r>
        <w:rPr>
          <w:rFonts w:ascii="Calibri" w:cs="Tahoma" w:hAnsi="Calibri"/>
          <w:lang w:val="pl-PL"/>
        </w:rPr>
        <w:t>aukcji elektronicznej,</w:t>
      </w:r>
    </w:p>
    <w:p>
      <w:pPr>
        <w:pStyle w:val="style0"/>
        <w:numPr>
          <w:ilvl w:val="0"/>
          <w:numId w:val="29"/>
        </w:numPr>
        <w:jc w:val="both"/>
      </w:pPr>
      <w:r>
        <w:rPr>
          <w:rFonts w:ascii="Calibri" w:cs="Tahoma" w:hAnsi="Calibri"/>
          <w:lang w:val="pl-PL"/>
        </w:rPr>
        <w:t>zwrotu kosztów udziału w postępowaniu.</w:t>
      </w:r>
    </w:p>
    <w:p>
      <w:pPr>
        <w:pStyle w:val="style9"/>
      </w:pPr>
      <w:r>
        <w:rPr>
          <w:rFonts w:ascii="Calibri" w:cs="Tahoma" w:hAnsi="Calibri"/>
          <w:b/>
          <w:sz w:val="24"/>
          <w:szCs w:val="24"/>
          <w:lang w:val="pl-PL"/>
        </w:rPr>
        <w:t>XIX. POSTANOWIENIA KOŃCOWE</w:t>
      </w:r>
    </w:p>
    <w:p>
      <w:pPr>
        <w:pStyle w:val="style0"/>
        <w:jc w:val="both"/>
      </w:pPr>
      <w:r>
        <w:rPr>
          <w:rFonts w:ascii="Calibri" w:cs="Tahoma" w:hAnsi="Calibri"/>
          <w:lang w:val="pl-PL"/>
        </w:rPr>
        <w:t>W sprawach nieuregulowanych w specyfikacji istotnych warunków zamówienia zastosowanie mają przepisy ustawy z dnia z dnia 29 stycznia 2004 r. Prawo zamówień publicznych (</w:t>
      </w:r>
      <w:r>
        <w:rPr>
          <w:rFonts w:ascii="Calibri" w:hAnsi="Calibri"/>
          <w:lang w:val="pl-PL"/>
        </w:rPr>
        <w:t>Dz.U. z 2010 r. Nr 113, poz. 759 z późn. zm.)</w:t>
      </w:r>
      <w:r>
        <w:rPr>
          <w:rFonts w:ascii="Calibri" w:cs="Tahoma" w:hAnsi="Calibri"/>
          <w:lang w:val="pl-PL"/>
        </w:rPr>
        <w:t xml:space="preserve"> i przepisy wykonawcze do tej ustawy.</w:t>
      </w:r>
    </w:p>
    <w:p>
      <w:pPr>
        <w:pStyle w:val="style0"/>
        <w:jc w:val="both"/>
      </w:pPr>
      <w:r>
        <w:rPr/>
      </w:r>
    </w:p>
    <w:p>
      <w:pPr>
        <w:pStyle w:val="style0"/>
        <w:jc w:val="both"/>
      </w:pPr>
      <w:r>
        <w:rPr>
          <w:rFonts w:ascii="Calibri" w:cs="Tahoma" w:hAnsi="Calibri"/>
          <w:u w:val="single"/>
          <w:lang w:val="pl-PL"/>
        </w:rPr>
        <w:t>SPIS ZAŁĄCZNIKÓW DO SIWZ:</w:t>
      </w:r>
    </w:p>
    <w:p>
      <w:pPr>
        <w:pStyle w:val="style0"/>
        <w:numPr>
          <w:ilvl w:val="0"/>
          <w:numId w:val="6"/>
        </w:numPr>
        <w:jc w:val="both"/>
      </w:pPr>
      <w:r>
        <w:rPr>
          <w:rFonts w:ascii="Calibri" w:cs="Tahoma" w:hAnsi="Calibri"/>
          <w:lang w:val="pl-PL"/>
        </w:rPr>
        <w:t>FORMULARZ OFERTY - załącznik nr 1,</w:t>
      </w:r>
    </w:p>
    <w:p>
      <w:pPr>
        <w:pStyle w:val="style0"/>
        <w:numPr>
          <w:ilvl w:val="0"/>
          <w:numId w:val="6"/>
        </w:numPr>
        <w:jc w:val="both"/>
      </w:pPr>
      <w:r>
        <w:rPr>
          <w:rFonts w:ascii="Calibri" w:cs="Tahoma" w:hAnsi="Calibri"/>
          <w:lang w:val="pl-PL"/>
        </w:rPr>
        <w:t>OŚWIADCZENIE O SPEŁNIANIU WARUNKÓW I NIEPODLEGANIU WYKLUCZENIU Z UDZIAŁU W POSTĘPOWANIU – załącznik nr 2,</w:t>
      </w:r>
    </w:p>
    <w:p>
      <w:pPr>
        <w:pStyle w:val="style0"/>
        <w:numPr>
          <w:ilvl w:val="0"/>
          <w:numId w:val="6"/>
        </w:numPr>
        <w:jc w:val="both"/>
      </w:pPr>
      <w:r>
        <w:rPr>
          <w:rFonts w:ascii="Calibri" w:cs="Tahoma" w:hAnsi="Calibri"/>
          <w:lang w:val="pl-PL"/>
        </w:rPr>
        <w:t>WYKAZ ZREALIZOWANYCH ZAMÓWIEŃ  – załącznik nr 3,</w:t>
      </w:r>
    </w:p>
    <w:p>
      <w:pPr>
        <w:pStyle w:val="style0"/>
        <w:numPr>
          <w:ilvl w:val="0"/>
          <w:numId w:val="6"/>
        </w:numPr>
        <w:jc w:val="both"/>
      </w:pPr>
      <w:r>
        <w:rPr>
          <w:rFonts w:ascii="Calibri" w:cs="Tahoma" w:hAnsi="Calibri"/>
          <w:lang w:val="pl-PL"/>
        </w:rPr>
        <w:t>PRZEDMIAR ROBÓT – załącznik nr 4 A i 4B</w:t>
      </w:r>
    </w:p>
    <w:p>
      <w:pPr>
        <w:pStyle w:val="style0"/>
        <w:numPr>
          <w:ilvl w:val="0"/>
          <w:numId w:val="6"/>
        </w:numPr>
        <w:jc w:val="both"/>
      </w:pPr>
      <w:r>
        <w:rPr>
          <w:rFonts w:ascii="Calibri" w:cs="Tahoma" w:hAnsi="Calibri"/>
          <w:lang w:val="pl-PL"/>
        </w:rPr>
        <w:t>WZÓR DROGOWSKAZU DO OBIEKTÓW INFRASTRUKTURY TURYSTYCZNEJ – załącznik nr 5,</w:t>
      </w:r>
    </w:p>
    <w:p>
      <w:pPr>
        <w:pStyle w:val="style0"/>
        <w:numPr>
          <w:ilvl w:val="0"/>
          <w:numId w:val="6"/>
        </w:numPr>
        <w:jc w:val="both"/>
      </w:pPr>
      <w:r>
        <w:rPr>
          <w:rFonts w:ascii="Calibri" w:cs="Tahoma" w:hAnsi="Calibri"/>
          <w:lang w:val="pl-PL"/>
        </w:rPr>
        <w:t>WZÓR UMOWY – załącznik nr 6.</w:t>
      </w:r>
    </w:p>
    <w:p>
      <w:pPr>
        <w:pStyle w:val="style0"/>
        <w:jc w:val="both"/>
      </w:pPr>
      <w:r>
        <w:rPr/>
      </w:r>
    </w:p>
    <w:p>
      <w:pPr>
        <w:pStyle w:val="style0"/>
        <w:jc w:val="both"/>
      </w:pPr>
      <w:r>
        <w:rPr/>
      </w:r>
    </w:p>
    <w:p>
      <w:pPr>
        <w:pStyle w:val="style0"/>
        <w:jc w:val="both"/>
      </w:pPr>
      <w:r>
        <w:rPr/>
      </w:r>
    </w:p>
    <w:p>
      <w:pPr>
        <w:pStyle w:val="style0"/>
        <w:jc w:val="both"/>
      </w:pPr>
      <w:r>
        <w:rPr/>
      </w:r>
    </w:p>
    <w:p>
      <w:pPr>
        <w:pStyle w:val="style0"/>
        <w:jc w:val="both"/>
      </w:pPr>
      <w:r>
        <w:rPr/>
      </w:r>
    </w:p>
    <w:p>
      <w:pPr>
        <w:pStyle w:val="style0"/>
        <w:jc w:val="both"/>
      </w:pPr>
      <w:r>
        <w:rPr/>
      </w:r>
    </w:p>
    <w:p>
      <w:pPr>
        <w:pStyle w:val="style0"/>
      </w:pPr>
      <w:r>
        <w:rPr/>
      </w:r>
    </w:p>
    <w:p>
      <w:pPr>
        <w:pStyle w:val="style3"/>
        <w:jc w:val="right"/>
      </w:pPr>
      <w:r>
        <w:rPr/>
      </w:r>
    </w:p>
    <w:p>
      <w:pPr>
        <w:pStyle w:val="style3"/>
        <w:pageBreakBefore/>
        <w:jc w:val="right"/>
      </w:pPr>
      <w:r>
        <w:rPr>
          <w:rFonts w:ascii="Calibri" w:cs="Tahoma" w:hAnsi="Calibri"/>
          <w:b w:val="false"/>
          <w:bCs/>
          <w:i/>
          <w:sz w:val="24"/>
          <w:szCs w:val="24"/>
          <w:lang w:val="pl-PL"/>
        </w:rPr>
        <w:t xml:space="preserve">Załącznik nr 1 do SIWZ </w:t>
      </w:r>
    </w:p>
    <w:p>
      <w:pPr>
        <w:pStyle w:val="style0"/>
        <w:jc w:val="right"/>
      </w:pPr>
      <w:r>
        <w:rPr/>
      </w:r>
    </w:p>
    <w:p>
      <w:pPr>
        <w:pStyle w:val="style0"/>
        <w:jc w:val="right"/>
      </w:pPr>
      <w:r>
        <w:rPr>
          <w:rFonts w:ascii="Calibri" w:cs="Tahoma" w:hAnsi="Calibri"/>
          <w:lang w:val="pl-PL"/>
        </w:rPr>
        <w:t>................................. dnia ....................</w:t>
      </w:r>
    </w:p>
    <w:p>
      <w:pPr>
        <w:pStyle w:val="style2"/>
        <w:tabs>
          <w:tab w:leader="none" w:pos="0" w:val="left"/>
        </w:tabs>
      </w:pPr>
      <w:r>
        <w:rPr/>
      </w:r>
    </w:p>
    <w:p>
      <w:pPr>
        <w:pStyle w:val="style3"/>
        <w:tabs>
          <w:tab w:leader="none" w:pos="0" w:val="left"/>
        </w:tabs>
      </w:pPr>
      <w:r>
        <w:rPr>
          <w:rFonts w:ascii="Calibri" w:cs="Tahoma" w:hAnsi="Calibri"/>
          <w:sz w:val="24"/>
          <w:szCs w:val="24"/>
          <w:lang w:val="pl-PL"/>
        </w:rPr>
        <w:t>OFERTA W PRZETARGU NIEOGRANICZONYM</w:t>
      </w:r>
    </w:p>
    <w:p>
      <w:pPr>
        <w:pStyle w:val="style0"/>
        <w:jc w:val="center"/>
      </w:pPr>
      <w:r>
        <w:rPr>
          <w:rFonts w:ascii="Calibri" w:cs="Tahoma" w:hAnsi="Calibri"/>
          <w:b/>
          <w:lang w:val="pl-PL"/>
        </w:rPr>
        <w:t>„</w:t>
      </w:r>
      <w:r>
        <w:rPr>
          <w:rFonts w:ascii="Calibri" w:hAnsi="Calibri"/>
          <w:b/>
          <w:color w:val="000000"/>
          <w:sz w:val="27"/>
          <w:szCs w:val="27"/>
          <w:shd w:fill="FFFFFF" w:val="clear"/>
          <w:lang w:val="pl-PL"/>
        </w:rPr>
        <w:t>MODERNIZACJA WYBRANYCH OBIEKTÓW INFRASTRUKTURY TURYSTYCZNEJ NA OBSZARZE NATURA 2000 BAGIENNA DOLINA NARWI PLB 200001</w:t>
      </w:r>
      <w:r>
        <w:rPr>
          <w:rFonts w:ascii="Calibri" w:cs="Tahoma" w:hAnsi="Calibri"/>
          <w:b/>
          <w:lang w:val="pl-PL"/>
        </w:rPr>
        <w:t>“</w:t>
      </w:r>
    </w:p>
    <w:p>
      <w:pPr>
        <w:pStyle w:val="style0"/>
      </w:pPr>
      <w:r>
        <w:rPr>
          <w:rFonts w:ascii="Calibri" w:cs="Tahoma" w:hAnsi="Calibri"/>
          <w:b/>
          <w:lang w:val="pl-PL"/>
        </w:rPr>
        <w:t xml:space="preserve">WYKONAWCA: </w:t>
      </w:r>
      <w:r>
        <w:rPr>
          <w:rFonts w:ascii="Calibri" w:cs="Tahoma" w:hAnsi="Calibri"/>
          <w:lang w:val="pl-PL"/>
        </w:rPr>
        <w:t>nazwa, siedziba, tel. /fax/: .………….................................................................................................................................................</w:t>
      </w:r>
    </w:p>
    <w:p>
      <w:pPr>
        <w:pStyle w:val="style0"/>
      </w:pPr>
      <w:r>
        <w:rPr>
          <w:rFonts w:ascii="Calibri" w:cs="Tahoma" w:hAnsi="Calibri"/>
          <w:lang w:val="pl-PL"/>
        </w:rPr>
        <w:t>.............................................................................................................................................................</w:t>
      </w:r>
    </w:p>
    <w:p>
      <w:pPr>
        <w:pStyle w:val="style0"/>
      </w:pPr>
      <w:r>
        <w:rPr>
          <w:rFonts w:ascii="Calibri" w:cs="Tahoma" w:hAnsi="Calibri"/>
          <w:lang w:val="pl-PL"/>
        </w:rPr>
        <w:t>………………………………………………………………………………………………………………………………………………………</w:t>
      </w:r>
    </w:p>
    <w:p>
      <w:pPr>
        <w:pStyle w:val="style0"/>
      </w:pPr>
      <w:r>
        <w:rPr/>
      </w:r>
    </w:p>
    <w:p>
      <w:pPr>
        <w:pStyle w:val="style0"/>
        <w:spacing w:line="360" w:lineRule="auto"/>
        <w:jc w:val="both"/>
      </w:pPr>
      <w:r>
        <w:rPr>
          <w:rFonts w:ascii="Calibri" w:cs="Tahoma" w:hAnsi="Calibri"/>
          <w:lang w:val="pl-PL"/>
        </w:rPr>
        <w:t xml:space="preserve">W postępowaniu o udzielenie zamówienia publicznego prowadzonym w trybie </w:t>
      </w:r>
      <w:r>
        <w:rPr>
          <w:rFonts w:ascii="Calibri" w:cs="Tahoma" w:hAnsi="Calibri"/>
          <w:i/>
          <w:iCs/>
          <w:lang w:val="pl-PL"/>
        </w:rPr>
        <w:t xml:space="preserve">przetargu nieograniczonego </w:t>
      </w:r>
      <w:r>
        <w:rPr>
          <w:rFonts w:ascii="Calibri" w:cs="Tahoma" w:hAnsi="Calibri"/>
          <w:lang w:val="pl-PL"/>
        </w:rPr>
        <w:t>oferujemy wykonanie zamówienia zgodnie z wymogami zawartymi w SIWZ:</w:t>
      </w:r>
    </w:p>
    <w:p>
      <w:pPr>
        <w:pStyle w:val="style48"/>
        <w:numPr>
          <w:ilvl w:val="0"/>
          <w:numId w:val="38"/>
        </w:numPr>
        <w:jc w:val="both"/>
      </w:pPr>
      <w:r>
        <w:rPr>
          <w:rFonts w:ascii="Calibri" w:cs="Tahoma" w:hAnsi="Calibri"/>
          <w:lang w:val="pl-PL"/>
        </w:rPr>
        <w:t>Modernizacja ścieżki przyrodniczej "Kładka wśród bagien" w Kurowie na działce o nr geod. 4/2, obręb ew. Kurowo, gm. Kobylin Borzymy.</w:t>
      </w:r>
    </w:p>
    <w:p>
      <w:pPr>
        <w:pStyle w:val="style0"/>
        <w:jc w:val="both"/>
      </w:pPr>
      <w:r>
        <w:rPr/>
      </w:r>
    </w:p>
    <w:p>
      <w:pPr>
        <w:pStyle w:val="style0"/>
        <w:jc w:val="both"/>
      </w:pPr>
      <w:r>
        <w:rPr>
          <w:rFonts w:ascii="Calibri" w:cs="Tahoma" w:hAnsi="Calibri"/>
          <w:b/>
          <w:lang w:val="pl-PL"/>
        </w:rPr>
        <w:t>Cena netto: …………………….. zł, VAT:……%…..…….…zł, brutto:………… zł,</w:t>
      </w:r>
    </w:p>
    <w:p>
      <w:pPr>
        <w:pStyle w:val="style0"/>
        <w:jc w:val="both"/>
      </w:pPr>
      <w:r>
        <w:rPr/>
      </w:r>
    </w:p>
    <w:p>
      <w:pPr>
        <w:pStyle w:val="style0"/>
        <w:jc w:val="both"/>
      </w:pPr>
      <w:r>
        <w:rPr>
          <w:rFonts w:ascii="Calibri" w:cs="Tahoma" w:hAnsi="Calibri"/>
          <w:lang w:val="pl-PL"/>
        </w:rPr>
        <w:t xml:space="preserve"> </w:t>
      </w:r>
      <w:r>
        <w:rPr>
          <w:rFonts w:ascii="Calibri" w:cs="Tahoma" w:hAnsi="Calibri"/>
          <w:lang w:val="pl-PL"/>
        </w:rPr>
        <w:t>słownie ………………………………..........................................................................zł.</w:t>
      </w:r>
    </w:p>
    <w:p>
      <w:pPr>
        <w:pStyle w:val="style0"/>
        <w:jc w:val="both"/>
      </w:pPr>
      <w:r>
        <w:rPr/>
      </w:r>
    </w:p>
    <w:p>
      <w:pPr>
        <w:pStyle w:val="style48"/>
        <w:numPr>
          <w:ilvl w:val="0"/>
          <w:numId w:val="38"/>
        </w:numPr>
        <w:jc w:val="both"/>
      </w:pPr>
      <w:r>
        <w:rPr>
          <w:rFonts w:ascii="Calibri" w:cs="Tahoma" w:hAnsi="Calibri"/>
          <w:lang w:val="pl-PL"/>
        </w:rPr>
        <w:t>Modernizacja wieży widokowej w Kurowie na działce o nr geod. 4/3, obręb ew. Kurowo, gm. Kobylin Borzymy</w:t>
      </w:r>
    </w:p>
    <w:p>
      <w:pPr>
        <w:pStyle w:val="style0"/>
        <w:jc w:val="both"/>
      </w:pPr>
      <w:r>
        <w:rPr/>
      </w:r>
    </w:p>
    <w:p>
      <w:pPr>
        <w:pStyle w:val="style0"/>
        <w:jc w:val="both"/>
      </w:pPr>
      <w:r>
        <w:rPr>
          <w:rFonts w:ascii="Calibri" w:cs="Tahoma" w:hAnsi="Calibri"/>
          <w:b/>
          <w:lang w:val="pl-PL"/>
        </w:rPr>
        <w:t>Cena netto: …………………….. zł, VAT:……%…..…….…zł, brutto:………… zł,</w:t>
      </w:r>
    </w:p>
    <w:p>
      <w:pPr>
        <w:pStyle w:val="style0"/>
        <w:jc w:val="both"/>
      </w:pPr>
      <w:r>
        <w:rPr/>
      </w:r>
    </w:p>
    <w:p>
      <w:pPr>
        <w:pStyle w:val="style0"/>
        <w:jc w:val="both"/>
      </w:pPr>
      <w:r>
        <w:rPr>
          <w:rFonts w:ascii="Calibri" w:cs="Tahoma" w:hAnsi="Calibri"/>
          <w:lang w:val="pl-PL"/>
        </w:rPr>
        <w:t xml:space="preserve"> </w:t>
      </w:r>
      <w:r>
        <w:rPr>
          <w:rFonts w:ascii="Calibri" w:cs="Tahoma" w:hAnsi="Calibri"/>
          <w:lang w:val="pl-PL"/>
        </w:rPr>
        <w:t>słownie ………………………………..........................................................................zł.</w:t>
      </w:r>
    </w:p>
    <w:p>
      <w:pPr>
        <w:pStyle w:val="style0"/>
        <w:jc w:val="both"/>
      </w:pPr>
      <w:r>
        <w:rPr/>
      </w:r>
    </w:p>
    <w:p>
      <w:pPr>
        <w:pStyle w:val="style48"/>
        <w:numPr>
          <w:ilvl w:val="0"/>
          <w:numId w:val="38"/>
        </w:numPr>
        <w:jc w:val="both"/>
      </w:pPr>
      <w:r>
        <w:rPr>
          <w:rFonts w:ascii="Calibri" w:cs="Tahoma" w:hAnsi="Calibri"/>
          <w:lang w:val="pl-PL"/>
        </w:rPr>
        <w:t>Modernizacja wieży widokowej w Kolonii Topilec na działce o nr geod. 554, obręb ew. Kolonia Topilec, gm. Turośń Kościelna</w:t>
      </w:r>
    </w:p>
    <w:p>
      <w:pPr>
        <w:pStyle w:val="style0"/>
        <w:jc w:val="both"/>
      </w:pPr>
      <w:r>
        <w:rPr/>
      </w:r>
    </w:p>
    <w:p>
      <w:pPr>
        <w:pStyle w:val="style0"/>
        <w:jc w:val="both"/>
      </w:pPr>
      <w:r>
        <w:rPr>
          <w:rFonts w:ascii="Calibri" w:cs="Tahoma" w:hAnsi="Calibri"/>
          <w:b/>
          <w:lang w:val="pl-PL"/>
        </w:rPr>
        <w:t>Cena netto: …………………….. zł, VAT:……%…..…….…zł, brutto:………… zł,</w:t>
      </w:r>
    </w:p>
    <w:p>
      <w:pPr>
        <w:pStyle w:val="style0"/>
        <w:jc w:val="both"/>
      </w:pPr>
      <w:r>
        <w:rPr/>
      </w:r>
    </w:p>
    <w:p>
      <w:pPr>
        <w:pStyle w:val="style0"/>
        <w:jc w:val="both"/>
      </w:pPr>
      <w:r>
        <w:rPr>
          <w:rFonts w:ascii="Calibri" w:cs="Tahoma" w:hAnsi="Calibri"/>
          <w:lang w:val="pl-PL"/>
        </w:rPr>
        <w:t xml:space="preserve"> </w:t>
      </w:r>
      <w:r>
        <w:rPr>
          <w:rFonts w:ascii="Calibri" w:cs="Tahoma" w:hAnsi="Calibri"/>
          <w:lang w:val="pl-PL"/>
        </w:rPr>
        <w:t>słownie ………………………………..........................................................................zł.</w:t>
      </w:r>
    </w:p>
    <w:p>
      <w:pPr>
        <w:pStyle w:val="style0"/>
        <w:jc w:val="both"/>
      </w:pPr>
      <w:r>
        <w:rPr/>
      </w:r>
    </w:p>
    <w:p>
      <w:pPr>
        <w:pStyle w:val="style48"/>
        <w:numPr>
          <w:ilvl w:val="0"/>
          <w:numId w:val="38"/>
        </w:numPr>
        <w:jc w:val="both"/>
      </w:pPr>
      <w:r>
        <w:rPr>
          <w:rFonts w:ascii="Calibri" w:cs="Tahoma" w:hAnsi="Calibri"/>
          <w:lang w:val="pl-PL"/>
        </w:rPr>
        <w:t>Modernizacja pola biwakowego w Kolonii Topilec na działce o nr geod. 554, obręb ew. Kolonia Topilec, gm. Turośń Kościelna</w:t>
      </w:r>
    </w:p>
    <w:p>
      <w:pPr>
        <w:pStyle w:val="style0"/>
        <w:jc w:val="both"/>
      </w:pPr>
      <w:r>
        <w:rPr/>
      </w:r>
    </w:p>
    <w:p>
      <w:pPr>
        <w:pStyle w:val="style0"/>
        <w:jc w:val="both"/>
      </w:pPr>
      <w:r>
        <w:rPr>
          <w:rFonts w:ascii="Calibri" w:cs="Tahoma" w:hAnsi="Calibri"/>
          <w:b/>
          <w:lang w:val="pl-PL"/>
        </w:rPr>
        <w:t>Cena netto: …………………….. zł, VAT:……%…..…….…zł, brutto:………… zł,</w:t>
      </w:r>
    </w:p>
    <w:p>
      <w:pPr>
        <w:pStyle w:val="style0"/>
        <w:jc w:val="both"/>
      </w:pPr>
      <w:r>
        <w:rPr/>
      </w:r>
    </w:p>
    <w:p>
      <w:pPr>
        <w:pStyle w:val="style0"/>
        <w:jc w:val="both"/>
      </w:pPr>
      <w:r>
        <w:rPr>
          <w:rFonts w:ascii="Calibri" w:cs="Tahoma" w:hAnsi="Calibri"/>
          <w:lang w:val="pl-PL"/>
        </w:rPr>
        <w:t xml:space="preserve"> </w:t>
      </w:r>
      <w:r>
        <w:rPr>
          <w:rFonts w:ascii="Calibri" w:cs="Tahoma" w:hAnsi="Calibri"/>
          <w:lang w:val="pl-PL"/>
        </w:rPr>
        <w:t>słownie ………………………………..........................................................................zł.</w:t>
      </w:r>
    </w:p>
    <w:p>
      <w:pPr>
        <w:pStyle w:val="style0"/>
        <w:jc w:val="both"/>
      </w:pPr>
      <w:r>
        <w:rPr/>
      </w:r>
    </w:p>
    <w:p>
      <w:pPr>
        <w:pStyle w:val="style0"/>
        <w:jc w:val="both"/>
      </w:pPr>
      <w:r>
        <w:rPr>
          <w:rFonts w:ascii="Calibri" w:cs="Tahoma" w:hAnsi="Calibri"/>
          <w:b/>
          <w:lang w:val="pl-PL"/>
        </w:rPr>
        <w:t xml:space="preserve">Cena łączna poz. 1 + 2 + 3 + 4: </w:t>
      </w:r>
      <w:r>
        <w:rPr>
          <w:rFonts w:ascii="Calibri" w:cs="Tahoma" w:hAnsi="Calibri"/>
          <w:b/>
          <w:bCs/>
          <w:lang w:val="pl-PL"/>
        </w:rPr>
        <w:t>netto:</w:t>
      </w:r>
      <w:r>
        <w:rPr>
          <w:rFonts w:ascii="Calibri" w:cs="Tahoma" w:hAnsi="Calibri"/>
          <w:b/>
          <w:lang w:val="pl-PL"/>
        </w:rPr>
        <w:t xml:space="preserve"> ...................zł., </w:t>
      </w:r>
      <w:r>
        <w:rPr>
          <w:rFonts w:ascii="Calibri" w:cs="Tahoma" w:hAnsi="Calibri"/>
          <w:b/>
          <w:bCs/>
          <w:lang w:val="pl-PL"/>
        </w:rPr>
        <w:t>VAT</w:t>
      </w:r>
      <w:r>
        <w:rPr>
          <w:rFonts w:ascii="Calibri" w:cs="Tahoma" w:hAnsi="Calibri"/>
          <w:b/>
          <w:lang w:val="pl-PL"/>
        </w:rPr>
        <w:t xml:space="preserve">.......%...............................zł, </w:t>
      </w:r>
    </w:p>
    <w:p>
      <w:pPr>
        <w:pStyle w:val="style0"/>
        <w:jc w:val="both"/>
      </w:pPr>
      <w:r>
        <w:rPr/>
      </w:r>
    </w:p>
    <w:p>
      <w:pPr>
        <w:pStyle w:val="style0"/>
        <w:jc w:val="both"/>
      </w:pPr>
      <w:r>
        <w:rPr>
          <w:rFonts w:ascii="Calibri" w:cs="Tahoma" w:hAnsi="Calibri"/>
          <w:b/>
          <w:bCs/>
          <w:lang w:val="pl-PL"/>
        </w:rPr>
        <w:t>brutto</w:t>
      </w:r>
      <w:r>
        <w:rPr>
          <w:rFonts w:ascii="Calibri" w:cs="Tahoma" w:hAnsi="Calibri"/>
          <w:b/>
          <w:lang w:val="pl-PL"/>
        </w:rPr>
        <w:t>:…………………zł, słownie:…………………………………………………………………………...... zł.</w:t>
      </w:r>
    </w:p>
    <w:p>
      <w:pPr>
        <w:pStyle w:val="style0"/>
        <w:jc w:val="both"/>
      </w:pPr>
      <w:r>
        <w:rPr/>
      </w:r>
    </w:p>
    <w:p>
      <w:pPr>
        <w:pStyle w:val="style0"/>
        <w:jc w:val="both"/>
      </w:pPr>
      <w:r>
        <w:rPr/>
      </w:r>
    </w:p>
    <w:p>
      <w:pPr>
        <w:pStyle w:val="style38"/>
        <w:numPr>
          <w:ilvl w:val="0"/>
          <w:numId w:val="30"/>
        </w:numPr>
      </w:pPr>
      <w:r>
        <w:rPr>
          <w:rFonts w:ascii="Calibri" w:cs="Tahoma" w:hAnsi="Calibri"/>
          <w:lang w:val="pl-PL"/>
        </w:rPr>
        <w:t>Oświadczamy, że oferowany przedmiot zamówienia spełnia wszystkie warunki opisane w SIWZ oraz inne wymagania przewidziane normami i obowiązującymi przepisami.</w:t>
      </w:r>
    </w:p>
    <w:p>
      <w:pPr>
        <w:pStyle w:val="style0"/>
        <w:numPr>
          <w:ilvl w:val="0"/>
          <w:numId w:val="30"/>
        </w:numPr>
        <w:jc w:val="both"/>
      </w:pPr>
      <w:r>
        <w:rPr>
          <w:rFonts w:ascii="Calibri" w:cs="Tahoma" w:hAnsi="Calibri"/>
          <w:bCs/>
          <w:lang w:val="pl-PL"/>
        </w:rPr>
        <w:t>Oświadczamy, że całość zamówienia wykonamy w terminie  wymienionym w SIWZ</w:t>
      </w:r>
      <w:r>
        <w:rPr>
          <w:rFonts w:ascii="Calibri" w:cs="Tahoma" w:hAnsi="Calibri"/>
          <w:lang w:val="pl-PL"/>
        </w:rPr>
        <w:t>.</w:t>
      </w:r>
    </w:p>
    <w:p>
      <w:pPr>
        <w:pStyle w:val="style0"/>
        <w:numPr>
          <w:ilvl w:val="0"/>
          <w:numId w:val="30"/>
        </w:numPr>
      </w:pPr>
      <w:r>
        <w:rPr>
          <w:rFonts w:ascii="Calibri" w:cs="Tahoma" w:hAnsi="Calibri"/>
          <w:lang w:val="pl-PL"/>
        </w:rPr>
        <w:t>Oświadczamy, że udzielamy 3 letnią gwarancję na wykonane roboty.</w:t>
      </w:r>
    </w:p>
    <w:p>
      <w:pPr>
        <w:pStyle w:val="style0"/>
        <w:numPr>
          <w:ilvl w:val="0"/>
          <w:numId w:val="30"/>
        </w:numPr>
        <w:jc w:val="both"/>
      </w:pPr>
      <w:r>
        <w:rPr>
          <w:rFonts w:ascii="Calibri" w:cs="Tahoma" w:hAnsi="Calibri"/>
          <w:lang w:val="pl-PL"/>
        </w:rPr>
        <w:t>Deklarujemy terminy płatności w 3 ratach: 30 dni od dat:  15.09.2013 r., 15.10.2013 r. oraz 30.11.2013 r.</w:t>
      </w:r>
    </w:p>
    <w:p>
      <w:pPr>
        <w:pStyle w:val="style0"/>
        <w:numPr>
          <w:ilvl w:val="0"/>
          <w:numId w:val="30"/>
        </w:numPr>
        <w:jc w:val="both"/>
      </w:pPr>
      <w:r>
        <w:rPr>
          <w:rFonts w:ascii="Calibri" w:cs="Tahoma" w:hAnsi="Calibri"/>
          <w:lang w:val="pl-PL"/>
        </w:rPr>
        <w:t>Oświadczamy, że zapoznaliśmy się z SIWZ i nie wnosimy do niej zastrzeżeń.</w:t>
      </w:r>
    </w:p>
    <w:p>
      <w:pPr>
        <w:pStyle w:val="style0"/>
        <w:numPr>
          <w:ilvl w:val="0"/>
          <w:numId w:val="30"/>
        </w:numPr>
        <w:jc w:val="both"/>
      </w:pPr>
      <w:r>
        <w:rPr>
          <w:rFonts w:ascii="Calibri" w:cs="Tahoma" w:hAnsi="Calibri"/>
          <w:lang w:val="pl-PL"/>
        </w:rPr>
        <w:t>Oświadczamy, że przedstawiony projekt umowy został przez nas zaakceptowany i zobowiązujemy się w przypadku wyboru naszej oferty do zawarcia umowy na podanych warunkach, w miejscu i terminie wyznaczonym przez Zamawiającego.</w:t>
      </w:r>
    </w:p>
    <w:p>
      <w:pPr>
        <w:pStyle w:val="style0"/>
        <w:numPr>
          <w:ilvl w:val="0"/>
          <w:numId w:val="30"/>
        </w:numPr>
        <w:jc w:val="both"/>
      </w:pPr>
      <w:r>
        <w:rPr>
          <w:rFonts w:ascii="Calibri" w:cs="Tahoma" w:hAnsi="Calibri"/>
          <w:lang w:val="pl-PL"/>
        </w:rPr>
        <w:t>Oświadczamy, że uważamy się za związanych niniejszą ofertą na czas wskazany w SIWZ.</w:t>
      </w:r>
    </w:p>
    <w:p>
      <w:pPr>
        <w:pStyle w:val="style0"/>
        <w:numPr>
          <w:ilvl w:val="0"/>
          <w:numId w:val="30"/>
        </w:numPr>
        <w:jc w:val="both"/>
      </w:pPr>
      <w:r>
        <w:rPr>
          <w:rFonts w:ascii="Calibri" w:cs="Tahoma" w:hAnsi="Calibri"/>
          <w:lang w:val="pl-PL"/>
        </w:rPr>
        <w:t>Roboty stanowiące przedmiot zamówienia:</w:t>
      </w:r>
    </w:p>
    <w:p>
      <w:pPr>
        <w:pStyle w:val="style0"/>
        <w:spacing w:after="0" w:before="120"/>
        <w:ind w:hanging="0" w:left="708" w:right="0"/>
        <w:contextualSpacing w:val="false"/>
        <w:jc w:val="both"/>
      </w:pPr>
      <w:r>
        <w:rPr>
          <w:rFonts w:ascii="Calibri" w:cs="Tahoma" w:hAnsi="Calibri"/>
          <w:lang w:val="pl-PL"/>
        </w:rPr>
        <w:t xml:space="preserve"> </w:t>
      </w:r>
      <w:r>
        <w:rPr>
          <w:rFonts w:ascii="Calibri" w:cs="Tahoma" w:hAnsi="Calibri"/>
          <w:lang w:val="pl-PL"/>
        </w:rPr>
        <w:t>a/ wykonamy sami***</w:t>
      </w:r>
    </w:p>
    <w:p>
      <w:pPr>
        <w:pStyle w:val="style0"/>
        <w:spacing w:after="0" w:before="120"/>
        <w:ind w:hanging="0" w:left="708" w:right="0"/>
        <w:contextualSpacing w:val="false"/>
      </w:pPr>
      <w:r>
        <w:rPr>
          <w:rFonts w:ascii="Calibri" w:cs="Tahoma" w:hAnsi="Calibri"/>
          <w:lang w:val="pl-PL"/>
        </w:rPr>
        <w:t xml:space="preserve"> </w:t>
      </w:r>
      <w:r>
        <w:rPr>
          <w:rFonts w:ascii="Calibri" w:cs="Tahoma" w:hAnsi="Calibri"/>
          <w:lang w:val="pl-PL"/>
        </w:rPr>
        <w:t>b/ powierzymy podwykonawcom w części dotyczącej***</w:t>
        <w:br/>
        <w:t>……………….……………………………………………….…………………………………………………………………………</w:t>
      </w:r>
    </w:p>
    <w:p>
      <w:pPr>
        <w:pStyle w:val="style0"/>
        <w:numPr>
          <w:ilvl w:val="0"/>
          <w:numId w:val="30"/>
        </w:numPr>
        <w:jc w:val="both"/>
      </w:pPr>
      <w:r>
        <w:rPr>
          <w:rFonts w:ascii="Calibri" w:cs="Tahoma" w:hAnsi="Calibri"/>
          <w:lang w:val="pl-PL"/>
        </w:rPr>
        <w:t>Wadium o wartości 10000 zł zostało wniesione w dniu .............................w formie .......................................................................</w:t>
      </w:r>
    </w:p>
    <w:p>
      <w:pPr>
        <w:pStyle w:val="style0"/>
        <w:numPr>
          <w:ilvl w:val="0"/>
          <w:numId w:val="30"/>
        </w:numPr>
        <w:jc w:val="both"/>
      </w:pPr>
      <w:r>
        <w:rPr>
          <w:rFonts w:ascii="Calibri" w:cs="Tahoma" w:hAnsi="Calibri"/>
          <w:lang w:val="pl-PL"/>
        </w:rPr>
        <w:t>W przypadku przyznania nam zamówienia, zobowiązujemy się do zawarcia umowy w miejscu i terminie wskazanym przez Zamawiającego.</w:t>
      </w:r>
    </w:p>
    <w:p>
      <w:pPr>
        <w:pStyle w:val="style0"/>
        <w:numPr>
          <w:ilvl w:val="0"/>
          <w:numId w:val="30"/>
        </w:numPr>
        <w:jc w:val="both"/>
      </w:pPr>
      <w:r>
        <w:rPr>
          <w:rFonts w:ascii="Calibri" w:cs="Tahoma" w:hAnsi="Calibri"/>
          <w:lang w:val="pl-PL"/>
        </w:rPr>
        <w:t>Zobowiązujemy się do wniesienia zabezpieczenia należytego wykonania umowy w określonej w SIWZ w wysokości ................... w formie ............................... przed terminem podpisania umowy.</w:t>
      </w:r>
    </w:p>
    <w:p>
      <w:pPr>
        <w:pStyle w:val="style0"/>
        <w:numPr>
          <w:ilvl w:val="0"/>
          <w:numId w:val="30"/>
        </w:numPr>
        <w:jc w:val="both"/>
      </w:pPr>
      <w:r>
        <w:rPr>
          <w:rFonts w:ascii="Calibri" w:cs="Tahoma" w:hAnsi="Calibri"/>
          <w:lang w:val="pl-PL"/>
        </w:rPr>
        <w:t>W przypadku odstąpienia od zawarcia umowy w miejscu i terminie określonym przez Zamawiającego, nie będziemy zgłaszać roszczeń do wniesionego wadium.</w:t>
      </w:r>
    </w:p>
    <w:p>
      <w:pPr>
        <w:pStyle w:val="style0"/>
        <w:numPr>
          <w:ilvl w:val="0"/>
          <w:numId w:val="30"/>
        </w:numPr>
        <w:jc w:val="both"/>
      </w:pPr>
      <w:r>
        <w:rPr>
          <w:rFonts w:ascii="Calibri" w:cs="Tahoma" w:hAnsi="Calibri"/>
          <w:lang w:val="pl-PL"/>
        </w:rPr>
        <w:t>Oferta wraz z oświadczeniami i dokumentami została złożona na ................ stronach, kolejno ponumerowanych od nr 1 do nr ................. .</w:t>
      </w:r>
    </w:p>
    <w:p>
      <w:pPr>
        <w:pStyle w:val="style0"/>
        <w:numPr>
          <w:ilvl w:val="0"/>
          <w:numId w:val="30"/>
        </w:numPr>
        <w:jc w:val="both"/>
      </w:pPr>
      <w:r>
        <w:rPr>
          <w:rFonts w:ascii="Calibri" w:cs="Tahoma" w:hAnsi="Calibri"/>
          <w:lang w:val="pl-PL"/>
        </w:rPr>
        <w:t>Do oferty dołączam następujące dokumenty:*</w:t>
      </w:r>
    </w:p>
    <w:p>
      <w:pPr>
        <w:pStyle w:val="style0"/>
        <w:ind w:hanging="0" w:left="720" w:right="0"/>
      </w:pPr>
      <w:r>
        <w:rPr>
          <w:rFonts w:ascii="Calibri" w:cs="Tahoma" w:hAnsi="Calibri"/>
          <w:lang w:val="pl-PL"/>
        </w:rPr>
        <w:t>1/ .................................................................................</w:t>
      </w:r>
    </w:p>
    <w:p>
      <w:pPr>
        <w:pStyle w:val="style0"/>
      </w:pPr>
      <w:r>
        <w:rPr>
          <w:rFonts w:ascii="Calibri" w:cs="Tahoma" w:hAnsi="Calibri"/>
          <w:lang w:val="pl-PL"/>
        </w:rPr>
        <w:tab/>
        <w:t>2/ .................................................................................</w:t>
      </w:r>
    </w:p>
    <w:p>
      <w:pPr>
        <w:pStyle w:val="style0"/>
      </w:pPr>
      <w:r>
        <w:rPr>
          <w:rFonts w:ascii="Calibri" w:cs="Tahoma" w:hAnsi="Calibri"/>
          <w:lang w:val="pl-PL"/>
        </w:rPr>
        <w:tab/>
        <w:t>3/ .................................................................................</w:t>
      </w:r>
    </w:p>
    <w:p>
      <w:pPr>
        <w:pStyle w:val="style0"/>
      </w:pPr>
      <w:r>
        <w:rPr>
          <w:rFonts w:ascii="Calibri" w:cs="Tahoma" w:hAnsi="Calibri"/>
          <w:lang w:val="pl-PL"/>
        </w:rPr>
        <w:tab/>
        <w:t>4/ .................................................................................</w:t>
      </w:r>
    </w:p>
    <w:p>
      <w:pPr>
        <w:pStyle w:val="style0"/>
        <w:ind w:hanging="0" w:left="708" w:right="0"/>
      </w:pPr>
      <w:r>
        <w:rPr>
          <w:rFonts w:ascii="Calibri" w:cs="Tahoma" w:hAnsi="Calibri"/>
          <w:lang w:val="pl-PL"/>
        </w:rPr>
        <w:t>5/ …………………………………………………………………………….</w:t>
      </w:r>
    </w:p>
    <w:p>
      <w:pPr>
        <w:pStyle w:val="style0"/>
        <w:jc w:val="both"/>
      </w:pPr>
      <w:r>
        <w:rPr>
          <w:rFonts w:ascii="Calibri" w:cs="Tahoma" w:hAnsi="Calibri"/>
          <w:lang w:val="pl-PL"/>
        </w:rPr>
        <w:tab/>
        <w:tab/>
        <w:tab/>
        <w:tab/>
        <w:t xml:space="preserve"> Podpisano**</w:t>
      </w:r>
    </w:p>
    <w:p>
      <w:pPr>
        <w:pStyle w:val="style0"/>
      </w:pPr>
      <w:r>
        <w:rPr/>
      </w:r>
    </w:p>
    <w:p>
      <w:pPr>
        <w:pStyle w:val="style0"/>
        <w:jc w:val="right"/>
      </w:pPr>
      <w:r>
        <w:rPr>
          <w:rFonts w:ascii="Calibri" w:cs="Tahoma" w:hAnsi="Calibri"/>
          <w:lang w:val="pl-PL"/>
        </w:rPr>
        <w:t>........................................................................</w:t>
      </w:r>
    </w:p>
    <w:p>
      <w:pPr>
        <w:pStyle w:val="style0"/>
        <w:jc w:val="right"/>
      </w:pPr>
      <w:r>
        <w:rPr>
          <w:rFonts w:ascii="Calibri" w:cs="Tahoma" w:hAnsi="Calibri"/>
          <w:lang w:val="pl-PL"/>
        </w:rPr>
        <w:t xml:space="preserve"> </w:t>
      </w:r>
      <w:r>
        <w:rPr>
          <w:rFonts w:ascii="Calibri" w:cs="Tahoma" w:hAnsi="Calibri"/>
          <w:i/>
          <w:iCs/>
          <w:lang w:val="pl-PL"/>
        </w:rPr>
        <w:t>/upełnomocnieni przedstawiciele wykonawcy/</w:t>
      </w:r>
    </w:p>
    <w:p>
      <w:pPr>
        <w:pStyle w:val="style0"/>
      </w:pPr>
      <w:r>
        <w:rPr>
          <w:rFonts w:ascii="Calibri" w:cs="Tahoma" w:hAnsi="Calibri"/>
          <w:i/>
          <w:iCs/>
          <w:lang w:val="pl-PL"/>
        </w:rPr>
        <w:t>Uwaga:</w:t>
      </w:r>
    </w:p>
    <w:p>
      <w:pPr>
        <w:pStyle w:val="style0"/>
        <w:ind w:hanging="705" w:left="708" w:right="0"/>
      </w:pPr>
      <w:r>
        <w:rPr>
          <w:rFonts w:ascii="Calibri" w:cs="Tahoma" w:hAnsi="Calibri"/>
          <w:i/>
          <w:iCs/>
          <w:lang w:val="pl-PL"/>
        </w:rPr>
        <w:t>*</w:t>
        <w:tab/>
        <w:t xml:space="preserve">Jeżeli dołączane są odpisy dokumentów lub ich kopie, to muszą być one poświadczone za zgodność z oryginałem przez wykonawcę </w:t>
      </w:r>
    </w:p>
    <w:p>
      <w:pPr>
        <w:pStyle w:val="style0"/>
        <w:tabs>
          <w:tab w:leader="none" w:pos="0" w:val="left"/>
        </w:tabs>
      </w:pPr>
      <w:r>
        <w:rPr>
          <w:rFonts w:ascii="Calibri" w:cs="Tahoma" w:hAnsi="Calibri"/>
          <w:lang w:val="pl-PL"/>
        </w:rPr>
        <w:t xml:space="preserve">** </w:t>
        <w:tab/>
        <w:t>J</w:t>
      </w:r>
      <w:r>
        <w:rPr>
          <w:rFonts w:ascii="Calibri" w:cs="Tahoma" w:hAnsi="Calibri"/>
          <w:i/>
          <w:iCs/>
          <w:lang w:val="pl-PL"/>
        </w:rPr>
        <w:t>eżeli OFERTA będzie wielostronicowa – każda strona oferty musi być podpisana.</w:t>
      </w:r>
    </w:p>
    <w:p>
      <w:pPr>
        <w:pStyle w:val="style0"/>
        <w:tabs>
          <w:tab w:leader="none" w:pos="0" w:val="left"/>
        </w:tabs>
      </w:pPr>
      <w:r>
        <w:rPr>
          <w:rFonts w:ascii="Calibri" w:cs="Tahoma" w:hAnsi="Calibri"/>
          <w:i/>
          <w:iCs/>
          <w:lang w:val="pl-PL"/>
        </w:rPr>
        <w:t xml:space="preserve">*** </w:t>
        <w:tab/>
        <w:t>niepotrzebne skreślić</w:t>
      </w:r>
    </w:p>
    <w:p>
      <w:pPr>
        <w:pStyle w:val="style0"/>
        <w:jc w:val="both"/>
      </w:pPr>
      <w:r>
        <w:rPr/>
      </w:r>
    </w:p>
    <w:p>
      <w:pPr>
        <w:pStyle w:val="style0"/>
        <w:jc w:val="both"/>
      </w:pPr>
      <w:r>
        <w:rPr>
          <w:rFonts w:ascii="Calibri" w:cs="Tahoma" w:hAnsi="Calibri"/>
          <w:b/>
          <w:bCs/>
          <w:lang w:val="pl-PL"/>
        </w:rPr>
        <w:t xml:space="preserve"> </w:t>
      </w:r>
    </w:p>
    <w:p>
      <w:pPr>
        <w:pStyle w:val="style0"/>
        <w:jc w:val="both"/>
      </w:pPr>
      <w:r>
        <w:rPr>
          <w:rFonts w:ascii="Calibri" w:cs="Tahoma" w:hAnsi="Calibri"/>
          <w:lang w:val="pl-PL"/>
        </w:rPr>
        <w:tab/>
        <w:tab/>
        <w:tab/>
        <w:tab/>
        <w:tab/>
        <w:tab/>
        <w:tab/>
      </w:r>
    </w:p>
    <w:p>
      <w:pPr>
        <w:pStyle w:val="style0"/>
        <w:spacing w:line="360" w:lineRule="auto"/>
        <w:ind w:hanging="0" w:left="708" w:right="0"/>
        <w:jc w:val="right"/>
      </w:pPr>
      <w:r>
        <w:rPr>
          <w:rFonts w:ascii="Calibri" w:cs="Tahoma" w:hAnsi="Calibri"/>
          <w:b/>
          <w:bCs/>
          <w:color w:val="000000"/>
          <w:lang w:val="pl-PL"/>
        </w:rPr>
        <w:tab/>
      </w:r>
      <w:r>
        <w:rPr>
          <w:rFonts w:ascii="Calibri" w:cs="Tahoma" w:hAnsi="Calibri"/>
          <w:i/>
          <w:iCs/>
          <w:color w:val="000000"/>
          <w:lang w:val="pl-PL"/>
        </w:rPr>
        <w:t>Załącznik nr 2 do SIWZ</w:t>
      </w:r>
    </w:p>
    <w:p>
      <w:pPr>
        <w:pStyle w:val="style0"/>
        <w:spacing w:line="360" w:lineRule="auto"/>
        <w:ind w:firstLine="708" w:left="5664" w:right="0"/>
        <w:jc w:val="both"/>
      </w:pPr>
      <w:r>
        <w:rPr/>
      </w:r>
    </w:p>
    <w:p>
      <w:pPr>
        <w:pStyle w:val="style0"/>
        <w:spacing w:line="360" w:lineRule="auto"/>
        <w:jc w:val="both"/>
      </w:pPr>
      <w:r>
        <w:rPr/>
      </w:r>
    </w:p>
    <w:p>
      <w:pPr>
        <w:pStyle w:val="style0"/>
        <w:spacing w:line="360" w:lineRule="auto"/>
        <w:jc w:val="both"/>
      </w:pPr>
      <w:r>
        <w:rPr>
          <w:rFonts w:ascii="Calibri" w:cs="Tahoma" w:hAnsi="Calibri"/>
          <w:color w:val="000000"/>
          <w:lang w:val="pl-PL"/>
        </w:rPr>
        <w:t>.........................................</w:t>
      </w:r>
    </w:p>
    <w:p>
      <w:pPr>
        <w:pStyle w:val="style0"/>
        <w:spacing w:line="360" w:lineRule="auto"/>
        <w:jc w:val="both"/>
      </w:pPr>
      <w:r>
        <w:rPr>
          <w:rFonts w:ascii="Calibri" w:cs="Tahoma" w:hAnsi="Calibri"/>
          <w:color w:val="000000"/>
          <w:lang w:val="pl-PL"/>
        </w:rPr>
        <w:t>nazwa i adres wykonawcy</w:t>
      </w:r>
    </w:p>
    <w:p>
      <w:pPr>
        <w:pStyle w:val="style0"/>
        <w:spacing w:line="360" w:lineRule="auto"/>
        <w:jc w:val="both"/>
      </w:pPr>
      <w:r>
        <w:rPr/>
      </w:r>
    </w:p>
    <w:p>
      <w:pPr>
        <w:pStyle w:val="style0"/>
        <w:spacing w:line="360" w:lineRule="auto"/>
        <w:jc w:val="both"/>
      </w:pPr>
      <w:r>
        <w:rPr/>
      </w:r>
    </w:p>
    <w:p>
      <w:pPr>
        <w:pStyle w:val="style0"/>
        <w:spacing w:line="360" w:lineRule="auto"/>
        <w:jc w:val="both"/>
      </w:pPr>
      <w:r>
        <w:rPr/>
      </w:r>
    </w:p>
    <w:p>
      <w:pPr>
        <w:pStyle w:val="style0"/>
        <w:spacing w:line="360" w:lineRule="auto"/>
        <w:jc w:val="center"/>
      </w:pPr>
      <w:r>
        <w:rPr>
          <w:rFonts w:ascii="Calibri" w:cs="Tahoma" w:hAnsi="Calibri"/>
          <w:b/>
          <w:bCs/>
          <w:color w:val="000000"/>
          <w:lang w:val="pl-PL"/>
        </w:rPr>
        <w:t>OŚWIADCZENIE</w:t>
      </w:r>
    </w:p>
    <w:p>
      <w:pPr>
        <w:pStyle w:val="style0"/>
        <w:spacing w:line="360" w:lineRule="auto"/>
        <w:jc w:val="both"/>
      </w:pPr>
      <w:r>
        <w:rPr/>
      </w:r>
    </w:p>
    <w:p>
      <w:pPr>
        <w:pStyle w:val="style0"/>
        <w:spacing w:line="360" w:lineRule="auto"/>
        <w:jc w:val="both"/>
      </w:pPr>
      <w:r>
        <w:rPr>
          <w:rFonts w:ascii="Calibri" w:cs="Tahoma" w:hAnsi="Calibri"/>
          <w:color w:val="000000"/>
          <w:lang w:val="pl-PL"/>
        </w:rPr>
        <w:tab/>
        <w:t xml:space="preserve"> Oświadczam, że spełniam(-y) warunki udziału w postępowaniu o udzielenie zamówienia publicznego, o których mowa w art. 22 ust. 1 ustawy z dnia 29 stycznia 2004 r. Prawo zamówień publicznych (</w:t>
      </w:r>
      <w:r>
        <w:rPr>
          <w:rFonts w:ascii="Calibri" w:hAnsi="Calibri"/>
          <w:lang w:val="pl-PL"/>
        </w:rPr>
        <w:t>Dz.U. z 2010 r. Nr 113, poz. 759 z późn. zm</w:t>
      </w:r>
      <w:r>
        <w:rPr>
          <w:rFonts w:ascii="Calibri" w:cs="Tahoma" w:hAnsi="Calibri"/>
          <w:color w:val="000000"/>
          <w:lang w:val="pl-PL"/>
        </w:rPr>
        <w:t xml:space="preserve">.) i nie podlegam(-y) wykluczeniu z postępowania na podstawie art. 24 ust. 1 i 2. </w:t>
      </w:r>
    </w:p>
    <w:p>
      <w:pPr>
        <w:pStyle w:val="style0"/>
        <w:spacing w:line="360" w:lineRule="auto"/>
        <w:jc w:val="both"/>
      </w:pPr>
      <w:r>
        <w:rPr/>
      </w:r>
    </w:p>
    <w:p>
      <w:pPr>
        <w:pStyle w:val="style0"/>
        <w:spacing w:line="360" w:lineRule="auto"/>
        <w:jc w:val="both"/>
      </w:pPr>
      <w:r>
        <w:rPr/>
      </w:r>
    </w:p>
    <w:p>
      <w:pPr>
        <w:pStyle w:val="style0"/>
        <w:spacing w:line="360" w:lineRule="auto"/>
        <w:jc w:val="both"/>
      </w:pPr>
      <w:r>
        <w:rPr/>
      </w:r>
    </w:p>
    <w:p>
      <w:pPr>
        <w:pStyle w:val="style0"/>
        <w:spacing w:line="360" w:lineRule="auto"/>
        <w:jc w:val="both"/>
      </w:pPr>
      <w:r>
        <w:rPr/>
      </w:r>
    </w:p>
    <w:p>
      <w:pPr>
        <w:pStyle w:val="style0"/>
        <w:spacing w:line="360" w:lineRule="auto"/>
        <w:jc w:val="both"/>
      </w:pPr>
      <w:r>
        <w:rPr>
          <w:rFonts w:ascii="Calibri" w:cs="Tahoma" w:hAnsi="Calibri"/>
          <w:color w:val="000000"/>
          <w:lang w:val="pl-PL"/>
        </w:rPr>
        <w:tab/>
        <w:tab/>
        <w:tab/>
        <w:tab/>
        <w:tab/>
        <w:tab/>
        <w:tab/>
        <w:tab/>
        <w:tab/>
        <w:tab/>
        <w:tab/>
        <w:tab/>
        <w:tab/>
        <w:tab/>
        <w:tab/>
        <w:tab/>
        <w:tab/>
        <w:tab/>
        <w:tab/>
        <w:tab/>
        <w:t xml:space="preserve"> .............................................................</w:t>
      </w:r>
    </w:p>
    <w:p>
      <w:pPr>
        <w:pStyle w:val="style0"/>
        <w:spacing w:line="360" w:lineRule="auto"/>
        <w:ind w:hanging="0" w:left="4956" w:right="0"/>
      </w:pPr>
      <w:r>
        <w:rPr>
          <w:rFonts w:ascii="Calibri" w:cs="Tahoma" w:hAnsi="Calibri"/>
          <w:i/>
          <w:iCs/>
          <w:color w:val="000000"/>
          <w:lang w:val="pl-PL"/>
        </w:rPr>
        <w:t>/ podpisy upełnomocnionych przedstawicieli wykonawcy/</w:t>
      </w:r>
    </w:p>
    <w:p>
      <w:pPr>
        <w:pStyle w:val="style0"/>
        <w:jc w:val="center"/>
      </w:pPr>
      <w:r>
        <w:rPr>
          <w:rFonts w:ascii="Calibri" w:cs="Tahoma" w:hAnsi="Calibri"/>
          <w:color w:val="000000"/>
          <w:lang w:val="pl-PL"/>
        </w:rPr>
        <w:tab/>
        <w:tab/>
        <w:tab/>
        <w:tab/>
        <w:tab/>
        <w:tab/>
      </w:r>
    </w:p>
    <w:p>
      <w:pPr>
        <w:pStyle w:val="style0"/>
        <w:jc w:val="center"/>
      </w:pPr>
      <w:r>
        <w:rPr/>
      </w:r>
    </w:p>
    <w:p>
      <w:pPr>
        <w:pStyle w:val="style0"/>
        <w:jc w:val="center"/>
      </w:pPr>
      <w:r>
        <w:rPr/>
      </w:r>
    </w:p>
    <w:p>
      <w:pPr>
        <w:pStyle w:val="style0"/>
        <w:tabs>
          <w:tab w:leader="none" w:pos="8707" w:val="left"/>
        </w:tabs>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pageBreakBefore/>
        <w:ind w:hanging="0" w:left="7080" w:right="0"/>
      </w:pPr>
      <w:r>
        <w:rPr>
          <w:rFonts w:ascii="Calibri" w:cs="Tahoma" w:hAnsi="Calibri"/>
          <w:i/>
          <w:iCs/>
          <w:lang w:val="pl-PL"/>
        </w:rPr>
        <w:t>Załącznik nr 3 do SIWZ</w:t>
      </w:r>
    </w:p>
    <w:p>
      <w:pPr>
        <w:pStyle w:val="style0"/>
      </w:pPr>
      <w:r>
        <w:rPr/>
      </w:r>
    </w:p>
    <w:p>
      <w:pPr>
        <w:pStyle w:val="style34"/>
        <w:ind w:hanging="0" w:left="7080" w:right="0"/>
        <w:jc w:val="left"/>
      </w:pPr>
      <w:r>
        <w:rPr/>
      </w:r>
    </w:p>
    <w:p>
      <w:pPr>
        <w:pStyle w:val="style34"/>
        <w:jc w:val="left"/>
      </w:pPr>
      <w:r>
        <w:rPr>
          <w:rFonts w:ascii="Calibri" w:cs="Tahoma" w:hAnsi="Calibri"/>
          <w:b w:val="false"/>
          <w:bCs/>
          <w:i/>
          <w:iCs/>
          <w:sz w:val="24"/>
          <w:szCs w:val="24"/>
          <w:lang w:val="pl-PL"/>
        </w:rPr>
        <w:t>............................................</w:t>
      </w:r>
      <w:r>
        <w:rPr>
          <w:rFonts w:ascii="Calibri" w:cs="Tahoma" w:hAnsi="Calibri"/>
          <w:sz w:val="24"/>
          <w:szCs w:val="24"/>
          <w:lang w:val="pl-PL"/>
        </w:rPr>
        <w:t xml:space="preserve"> </w:t>
      </w:r>
    </w:p>
    <w:p>
      <w:pPr>
        <w:pStyle w:val="style0"/>
      </w:pPr>
      <w:r>
        <w:rPr>
          <w:rFonts w:ascii="Calibri" w:cs="Tahoma" w:hAnsi="Calibri"/>
          <w:b/>
          <w:bCs/>
          <w:lang w:val="pl-PL"/>
        </w:rPr>
        <w:t>/</w:t>
      </w:r>
      <w:r>
        <w:rPr>
          <w:rFonts w:ascii="Calibri" w:cs="Tahoma" w:hAnsi="Calibri"/>
          <w:lang w:val="pl-PL"/>
        </w:rPr>
        <w:t>nazwa i adres wykonawcy/</w:t>
      </w:r>
    </w:p>
    <w:p>
      <w:pPr>
        <w:pStyle w:val="style0"/>
      </w:pPr>
      <w:r>
        <w:rPr/>
      </w:r>
    </w:p>
    <w:p>
      <w:pPr>
        <w:pStyle w:val="style0"/>
      </w:pPr>
      <w:r>
        <w:rPr/>
      </w:r>
    </w:p>
    <w:p>
      <w:pPr>
        <w:pStyle w:val="style0"/>
      </w:pPr>
      <w:r>
        <w:rPr/>
      </w:r>
    </w:p>
    <w:p>
      <w:pPr>
        <w:pStyle w:val="style1"/>
      </w:pPr>
      <w:r>
        <w:rPr>
          <w:rFonts w:ascii="Calibri" w:cs="Tahoma" w:hAnsi="Calibri"/>
          <w:sz w:val="24"/>
          <w:lang w:val="pl-PL"/>
        </w:rPr>
        <w:t>WYKAZ</w:t>
      </w:r>
    </w:p>
    <w:p>
      <w:pPr>
        <w:pStyle w:val="style1"/>
      </w:pPr>
      <w:r>
        <w:rPr>
          <w:rFonts w:ascii="Calibri" w:cs="Tahoma" w:hAnsi="Calibri"/>
          <w:sz w:val="24"/>
          <w:lang w:val="pl-PL"/>
        </w:rPr>
        <w:t>zamówień zrealizowanych w okresie ostatnich 5 lat</w:t>
      </w:r>
    </w:p>
    <w:p>
      <w:pPr>
        <w:pStyle w:val="style0"/>
      </w:pPr>
      <w:r>
        <w:rPr/>
      </w:r>
    </w:p>
    <w:p>
      <w:pPr>
        <w:pStyle w:val="style0"/>
        <w:jc w:val="center"/>
      </w:pPr>
      <w:r>
        <w:rPr/>
      </w:r>
    </w:p>
    <w:tbl>
      <w:tblPr>
        <w:jc w:val="left"/>
        <w:tblInd w:type="dxa" w:w="-5"/>
        <w:tblBorders>
          <w:top w:color="00000A" w:space="0" w:sz="4" w:val="single"/>
          <w:left w:color="00000A" w:space="0" w:sz="4" w:val="single"/>
          <w:bottom w:color="00000A" w:space="0" w:sz="4" w:val="single"/>
          <w:insideH w:color="00000A" w:space="0" w:sz="4" w:val="single"/>
          <w:right w:color="00000A" w:space="0" w:sz="4" w:val="single"/>
          <w:insideV w:color="00000A" w:space="0" w:sz="4" w:val="single"/>
        </w:tblBorders>
        <w:tblCellMar>
          <w:top w:type="dxa" w:w="0"/>
          <w:left w:type="dxa" w:w="65"/>
          <w:bottom w:type="dxa" w:w="0"/>
          <w:right w:type="dxa" w:w="70"/>
        </w:tblCellMar>
      </w:tblPr>
      <w:tblGrid>
        <w:gridCol w:w="608"/>
        <w:gridCol w:w="3421"/>
        <w:gridCol w:w="1496"/>
        <w:gridCol w:w="3686"/>
      </w:tblGrid>
      <w:tr>
        <w:trPr>
          <w:cantSplit w:val="true"/>
        </w:trPr>
        <w:tc>
          <w:tcPr>
            <w:tcW w:type="dxa" w:w="608"/>
            <w:tcBorders>
              <w:top w:color="00000A" w:space="0" w:sz="4" w:val="single"/>
              <w:left w:color="00000A" w:space="0" w:sz="4" w:val="single"/>
              <w:bottom w:color="00000A" w:space="0" w:sz="4" w:val="single"/>
              <w:right w:color="00000A" w:space="0" w:sz="4" w:val="single"/>
            </w:tcBorders>
            <w:shd w:fill="FFFFFF" w:val="clear"/>
            <w:tcMar>
              <w:left w:type="dxa" w:w="65"/>
            </w:tcMar>
          </w:tcPr>
          <w:p>
            <w:pPr>
              <w:pStyle w:val="style0"/>
              <w:jc w:val="center"/>
            </w:pPr>
            <w:r>
              <w:rPr/>
            </w:r>
          </w:p>
          <w:p>
            <w:pPr>
              <w:pStyle w:val="style0"/>
              <w:jc w:val="center"/>
            </w:pPr>
            <w:r>
              <w:rPr>
                <w:rFonts w:ascii="Calibri" w:cs="Tahoma" w:hAnsi="Calibri"/>
                <w:lang w:val="pl-PL"/>
              </w:rPr>
              <w:t xml:space="preserve">Lp. </w:t>
            </w:r>
          </w:p>
          <w:p>
            <w:pPr>
              <w:pStyle w:val="style0"/>
              <w:jc w:val="center"/>
            </w:pPr>
            <w:r>
              <w:rPr/>
            </w:r>
          </w:p>
        </w:tc>
        <w:tc>
          <w:tcPr>
            <w:tcW w:type="dxa" w:w="3421"/>
            <w:tcBorders>
              <w:top w:color="00000A" w:space="0" w:sz="4" w:val="single"/>
              <w:left w:color="00000A" w:space="0" w:sz="4" w:val="single"/>
              <w:bottom w:color="00000A" w:space="0" w:sz="4" w:val="single"/>
              <w:right w:color="00000A" w:space="0" w:sz="4" w:val="single"/>
            </w:tcBorders>
            <w:shd w:fill="FFFFFF" w:val="clear"/>
            <w:tcMar>
              <w:left w:type="dxa" w:w="65"/>
            </w:tcMar>
          </w:tcPr>
          <w:p>
            <w:pPr>
              <w:pStyle w:val="style0"/>
              <w:jc w:val="center"/>
            </w:pPr>
            <w:r>
              <w:rPr/>
            </w:r>
          </w:p>
          <w:p>
            <w:pPr>
              <w:pStyle w:val="style0"/>
              <w:jc w:val="center"/>
            </w:pPr>
            <w:r>
              <w:rPr>
                <w:rFonts w:ascii="Calibri" w:cs="Tahoma" w:hAnsi="Calibri"/>
                <w:lang w:val="pl-PL"/>
              </w:rPr>
              <w:t>Zakres</w:t>
            </w:r>
          </w:p>
        </w:tc>
        <w:tc>
          <w:tcPr>
            <w:tcW w:type="dxa" w:w="1496"/>
            <w:tcBorders>
              <w:top w:color="00000A" w:space="0" w:sz="4" w:val="single"/>
              <w:left w:color="00000A" w:space="0" w:sz="4" w:val="single"/>
              <w:bottom w:color="00000A" w:space="0" w:sz="4" w:val="single"/>
              <w:right w:color="00000A" w:space="0" w:sz="4" w:val="single"/>
            </w:tcBorders>
            <w:shd w:fill="FFFFFF" w:val="clear"/>
            <w:tcMar>
              <w:left w:type="dxa" w:w="65"/>
            </w:tcMar>
          </w:tcPr>
          <w:p>
            <w:pPr>
              <w:pStyle w:val="style0"/>
              <w:jc w:val="center"/>
            </w:pPr>
            <w:r>
              <w:rPr/>
            </w:r>
          </w:p>
          <w:p>
            <w:pPr>
              <w:pStyle w:val="style0"/>
              <w:jc w:val="center"/>
            </w:pPr>
            <w:r>
              <w:rPr>
                <w:rFonts w:ascii="Calibri" w:cs="Tahoma" w:hAnsi="Calibri"/>
                <w:lang w:val="pl-PL"/>
              </w:rPr>
              <w:t>Wartość</w:t>
            </w:r>
          </w:p>
        </w:tc>
        <w:tc>
          <w:tcPr>
            <w:tcW w:type="dxa" w:w="3686"/>
            <w:tcBorders>
              <w:top w:color="00000A" w:space="0" w:sz="4" w:val="single"/>
              <w:left w:color="00000A" w:space="0" w:sz="4" w:val="single"/>
              <w:bottom w:color="00000A" w:space="0" w:sz="4" w:val="single"/>
              <w:right w:color="00000A" w:space="0" w:sz="4" w:val="single"/>
            </w:tcBorders>
            <w:shd w:fill="FFFFFF" w:val="clear"/>
            <w:tcMar>
              <w:left w:type="dxa" w:w="65"/>
            </w:tcMar>
          </w:tcPr>
          <w:p>
            <w:pPr>
              <w:pStyle w:val="style0"/>
              <w:jc w:val="center"/>
            </w:pPr>
            <w:r>
              <w:rPr/>
            </w:r>
          </w:p>
          <w:p>
            <w:pPr>
              <w:pStyle w:val="style0"/>
              <w:jc w:val="center"/>
            </w:pPr>
            <w:r>
              <w:rPr>
                <w:rFonts w:ascii="Calibri" w:cs="Tahoma" w:hAnsi="Calibri"/>
                <w:lang w:val="pl-PL"/>
              </w:rPr>
              <w:t>Termin i miejsce realizacji</w:t>
            </w:r>
          </w:p>
        </w:tc>
      </w:tr>
      <w:tr>
        <w:trPr>
          <w:cantSplit w:val="true"/>
        </w:trPr>
        <w:tc>
          <w:tcPr>
            <w:tcW w:type="dxa" w:w="608"/>
            <w:tcBorders>
              <w:top w:color="00000A" w:space="0" w:sz="4" w:val="single"/>
              <w:left w:color="00000A" w:space="0" w:sz="4" w:val="single"/>
              <w:bottom w:color="00000A" w:space="0" w:sz="4" w:val="single"/>
              <w:right w:color="00000A" w:space="0" w:sz="4" w:val="single"/>
            </w:tcBorders>
            <w:shd w:fill="FFFFFF" w:val="clear"/>
            <w:tcMar>
              <w:left w:type="dxa" w:w="65"/>
            </w:tcMar>
          </w:tcPr>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tc>
        <w:tc>
          <w:tcPr>
            <w:tcW w:type="dxa" w:w="3421"/>
            <w:tcBorders>
              <w:top w:color="00000A" w:space="0" w:sz="4" w:val="single"/>
              <w:left w:color="00000A" w:space="0" w:sz="4" w:val="single"/>
              <w:bottom w:color="00000A" w:space="0" w:sz="4" w:val="single"/>
              <w:right w:color="00000A" w:space="0" w:sz="4" w:val="single"/>
            </w:tcBorders>
            <w:shd w:fill="FFFFFF" w:val="clear"/>
            <w:tcMar>
              <w:left w:type="dxa" w:w="65"/>
            </w:tcMar>
          </w:tcPr>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p>
            <w:pPr>
              <w:pStyle w:val="style0"/>
              <w:jc w:val="center"/>
            </w:pPr>
            <w:r>
              <w:rPr/>
            </w:r>
          </w:p>
        </w:tc>
        <w:tc>
          <w:tcPr>
            <w:tcW w:type="dxa" w:w="1496"/>
            <w:tcBorders>
              <w:top w:color="00000A" w:space="0" w:sz="4" w:val="single"/>
              <w:left w:color="00000A" w:space="0" w:sz="4" w:val="single"/>
              <w:bottom w:color="00000A" w:space="0" w:sz="4" w:val="single"/>
              <w:right w:color="00000A" w:space="0" w:sz="4" w:val="single"/>
            </w:tcBorders>
            <w:shd w:fill="FFFFFF" w:val="clear"/>
            <w:tcMar>
              <w:left w:type="dxa" w:w="65"/>
            </w:tcMar>
          </w:tcPr>
          <w:p>
            <w:pPr>
              <w:pStyle w:val="style0"/>
              <w:jc w:val="center"/>
            </w:pPr>
            <w:r>
              <w:rPr/>
            </w:r>
          </w:p>
        </w:tc>
        <w:tc>
          <w:tcPr>
            <w:tcW w:type="dxa" w:w="3686"/>
            <w:tcBorders>
              <w:top w:color="00000A" w:space="0" w:sz="4" w:val="single"/>
              <w:left w:color="00000A" w:space="0" w:sz="4" w:val="single"/>
              <w:bottom w:color="00000A" w:space="0" w:sz="4" w:val="single"/>
              <w:right w:color="00000A" w:space="0" w:sz="4" w:val="single"/>
            </w:tcBorders>
            <w:shd w:fill="FFFFFF" w:val="clear"/>
            <w:tcMar>
              <w:left w:type="dxa" w:w="65"/>
            </w:tcMar>
          </w:tcPr>
          <w:p>
            <w:pPr>
              <w:pStyle w:val="style0"/>
              <w:jc w:val="center"/>
            </w:pPr>
            <w:r>
              <w:rPr/>
            </w:r>
          </w:p>
        </w:tc>
      </w:tr>
    </w:tbl>
    <w:p>
      <w:pPr>
        <w:pStyle w:val="style0"/>
        <w:jc w:val="center"/>
      </w:pPr>
      <w:r>
        <w:rPr/>
      </w:r>
    </w:p>
    <w:p>
      <w:pPr>
        <w:pStyle w:val="style0"/>
        <w:jc w:val="both"/>
      </w:pPr>
      <w:r>
        <w:rPr>
          <w:rFonts w:ascii="Calibri" w:cs="Tahoma" w:hAnsi="Calibri"/>
          <w:lang w:val="pl-PL"/>
        </w:rPr>
        <w:t>Załączniki:</w:t>
      </w:r>
    </w:p>
    <w:p>
      <w:pPr>
        <w:pStyle w:val="style0"/>
        <w:jc w:val="both"/>
      </w:pPr>
      <w:r>
        <w:rPr>
          <w:rFonts w:ascii="Calibri" w:cs="Tahoma" w:hAnsi="Calibri"/>
          <w:lang w:val="pl-PL"/>
        </w:rPr>
        <w:t>1)........................</w:t>
      </w:r>
    </w:p>
    <w:p>
      <w:pPr>
        <w:pStyle w:val="style0"/>
        <w:jc w:val="both"/>
      </w:pPr>
      <w:r>
        <w:rPr>
          <w:rFonts w:ascii="Calibri" w:cs="Tahoma" w:hAnsi="Calibri"/>
          <w:lang w:val="pl-PL"/>
        </w:rPr>
        <w:t>2)........................</w:t>
      </w:r>
    </w:p>
    <w:p>
      <w:pPr>
        <w:pStyle w:val="style0"/>
        <w:jc w:val="both"/>
      </w:pPr>
      <w:r>
        <w:rPr>
          <w:rFonts w:ascii="Calibri" w:cs="Tahoma" w:hAnsi="Calibri"/>
          <w:lang w:val="pl-PL"/>
        </w:rPr>
        <w:t>3)........................</w:t>
      </w:r>
    </w:p>
    <w:p>
      <w:pPr>
        <w:pStyle w:val="style0"/>
        <w:jc w:val="center"/>
      </w:pPr>
      <w:r>
        <w:rPr/>
      </w:r>
    </w:p>
    <w:p>
      <w:pPr>
        <w:pStyle w:val="style0"/>
        <w:jc w:val="center"/>
      </w:pPr>
      <w:r>
        <w:rPr/>
      </w:r>
    </w:p>
    <w:p>
      <w:pPr>
        <w:pStyle w:val="style0"/>
        <w:jc w:val="center"/>
      </w:pPr>
      <w:r>
        <w:rPr/>
      </w:r>
    </w:p>
    <w:p>
      <w:pPr>
        <w:pStyle w:val="style0"/>
        <w:jc w:val="right"/>
      </w:pPr>
      <w:r>
        <w:rPr>
          <w:rFonts w:ascii="Calibri" w:cs="Tahoma" w:hAnsi="Calibri"/>
          <w:b/>
          <w:bCs/>
          <w:lang w:val="pl-PL"/>
        </w:rPr>
        <w:tab/>
        <w:tab/>
        <w:tab/>
      </w:r>
      <w:r>
        <w:rPr>
          <w:rFonts w:ascii="Calibri" w:cs="Tahoma" w:hAnsi="Calibri"/>
          <w:lang w:val="pl-PL"/>
        </w:rPr>
        <w:tab/>
        <w:tab/>
        <w:tab/>
        <w:tab/>
        <w:t xml:space="preserve"> ........................................................................</w:t>
      </w:r>
    </w:p>
    <w:p>
      <w:pPr>
        <w:pStyle w:val="style0"/>
        <w:spacing w:line="360" w:lineRule="auto"/>
        <w:ind w:hanging="0" w:left="5672" w:right="0"/>
      </w:pPr>
      <w:r>
        <w:rPr>
          <w:rFonts w:ascii="Calibri" w:cs="Tahoma" w:hAnsi="Calibri"/>
          <w:i/>
          <w:iCs/>
          <w:color w:val="000000"/>
          <w:lang w:val="pl-PL"/>
        </w:rPr>
        <w:t>/podpis upełnomocnionego przedstawiciela wykonawcy/</w:t>
      </w:r>
    </w:p>
    <w:p>
      <w:pPr>
        <w:pStyle w:val="style0"/>
        <w:jc w:val="right"/>
      </w:pPr>
      <w:r>
        <w:rPr>
          <w:rFonts w:ascii="Calibri" w:cs="Tahoma" w:hAnsi="Calibri"/>
          <w:i/>
          <w:iCs/>
          <w:lang w:val="pl-PL"/>
        </w:rPr>
        <w:t>Załącznik nr 4 A i 4 B do SIWZ</w:t>
      </w:r>
    </w:p>
    <w:p>
      <w:pPr>
        <w:pStyle w:val="style0"/>
        <w:jc w:val="right"/>
      </w:pPr>
      <w:r>
        <w:rPr/>
      </w:r>
    </w:p>
    <w:p>
      <w:pPr>
        <w:pStyle w:val="style0"/>
        <w:jc w:val="right"/>
      </w:pPr>
      <w:r>
        <w:rPr/>
      </w:r>
    </w:p>
    <w:p>
      <w:pPr>
        <w:pStyle w:val="style0"/>
        <w:jc w:val="center"/>
      </w:pPr>
      <w:r>
        <w:rPr>
          <w:rFonts w:ascii="Calibri" w:cs="Tahoma" w:hAnsi="Calibri"/>
          <w:lang w:val="pl-PL"/>
        </w:rPr>
        <w:t>PRZEDMIAR ROBÓT w załączeniu</w:t>
      </w:r>
    </w:p>
    <w:p>
      <w:pPr>
        <w:pStyle w:val="style0"/>
        <w:jc w:val="right"/>
      </w:pPr>
      <w:r>
        <w:rPr/>
      </w:r>
    </w:p>
    <w:p>
      <w:pPr>
        <w:pStyle w:val="style0"/>
        <w:jc w:val="right"/>
      </w:pPr>
      <w:r>
        <w:rPr/>
      </w:r>
    </w:p>
    <w:p>
      <w:pPr>
        <w:pStyle w:val="style0"/>
        <w:jc w:val="right"/>
      </w:pPr>
      <w:r>
        <w:rPr>
          <w:rFonts w:ascii="Calibri" w:cs="Tahoma" w:hAnsi="Calibri"/>
          <w:i/>
          <w:iCs/>
          <w:lang w:val="pl-PL"/>
        </w:rPr>
        <w:t>Załącznik nr 5 do SIWZ</w:t>
      </w:r>
    </w:p>
    <w:p>
      <w:pPr>
        <w:pStyle w:val="style0"/>
        <w:jc w:val="right"/>
      </w:pPr>
      <w:r>
        <w:rPr/>
      </w:r>
    </w:p>
    <w:p>
      <w:pPr>
        <w:pStyle w:val="style0"/>
        <w:jc w:val="center"/>
      </w:pPr>
      <w:r>
        <w:rPr>
          <w:rFonts w:ascii="Calibri" w:cs="Tahoma" w:hAnsi="Calibri"/>
          <w:iCs/>
          <w:lang w:val="pl-PL"/>
        </w:rPr>
        <w:t xml:space="preserve">WZÓR DROGOWSKAZU DO </w:t>
      </w:r>
      <w:r>
        <w:rPr>
          <w:rFonts w:ascii="Calibri" w:cs="Tahoma" w:hAnsi="Calibri"/>
          <w:lang w:val="pl-PL"/>
        </w:rPr>
        <w:t>DO OBIEKTÓW INFRASTRUKTURY TURYSTYCZNEJ</w:t>
      </w:r>
    </w:p>
    <w:p>
      <w:pPr>
        <w:pStyle w:val="style0"/>
        <w:jc w:val="center"/>
      </w:pPr>
      <w:r>
        <w:rPr>
          <w:rFonts w:ascii="Calibri" w:cs="Tahoma" w:hAnsi="Calibri"/>
          <w:lang w:val="pl-PL"/>
        </w:rPr>
        <w:t>(treść oraz dokładny wzór drogowskazów zostanie uzgodniony z Zamawiającym)</w:t>
      </w:r>
    </w:p>
    <w:p>
      <w:pPr>
        <w:pStyle w:val="style0"/>
        <w:jc w:val="center"/>
      </w:pPr>
      <w:r>
        <w:rPr/>
      </w:r>
    </w:p>
    <w:p>
      <w:pPr>
        <w:pStyle w:val="style0"/>
        <w:jc w:val="center"/>
      </w:pPr>
      <w:r>
        <w:rPr/>
        <w:drawing>
          <wp:inline distB="0" distL="0" distR="0" distT="0">
            <wp:extent cx="5151755" cy="3532505"/>
            <wp:effectExtent b="0" l="0" r="0" t="0"/>
            <wp:docPr descr="" id="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0" name="Picture"/>
                    <pic:cNvPicPr>
                      <a:picLocks noChangeArrowheads="1" noChangeAspect="1"/>
                    </pic:cNvPicPr>
                  </pic:nvPicPr>
                  <pic:blipFill>
                    <a:blip r:embed="rId3"/>
                    <a:srcRect/>
                    <a:stretch>
                      <a:fillRect/>
                    </a:stretch>
                  </pic:blipFill>
                  <pic:spPr bwMode="auto">
                    <a:xfrm>
                      <a:off x="0" y="0"/>
                      <a:ext cx="5151755" cy="3532505"/>
                    </a:xfrm>
                    <a:prstGeom prst="rect">
                      <a:avLst/>
                    </a:prstGeom>
                    <a:noFill/>
                    <a:ln w="9525">
                      <a:noFill/>
                      <a:miter lim="800000"/>
                      <a:headEnd/>
                      <a:tailEnd/>
                    </a:ln>
                  </pic:spPr>
                </pic:pic>
              </a:graphicData>
            </a:graphic>
          </wp:inline>
        </w:drawing>
      </w:r>
    </w:p>
    <w:p>
      <w:pPr>
        <w:pStyle w:val="style0"/>
        <w:jc w:val="center"/>
      </w:pPr>
      <w:r>
        <w:rPr/>
      </w:r>
    </w:p>
    <w:p>
      <w:pPr>
        <w:sectPr>
          <w:footerReference r:id="rId5" w:type="default"/>
          <w:type w:val="nextPage"/>
          <w:pgSz w:h="16838" w:w="11906"/>
          <w:pgMar w:bottom="1417" w:footer="720" w:gutter="0" w:header="0" w:left="1417" w:right="926" w:top="1417"/>
          <w:pgNumType w:fmt="decimal"/>
          <w:formProt w:val="false"/>
          <w:textDirection w:val="lrTb"/>
          <w:docGrid w:charSpace="0" w:linePitch="360" w:type="default"/>
        </w:sectPr>
        <w:pStyle w:val="style46"/>
        <w:ind w:hanging="0" w:left="0" w:right="360"/>
      </w:pPr>
      <w:r>
        <w:rPr>
          <w:lang w:val="pl-PL"/>
        </w:rPr>
        <w:t xml:space="preserve"> </w:t>
      </w:r>
      <w:r>
        <w:rPr>
          <w:lang w:val="pl-PL"/>
        </w:rPr>
        <w:drawing>
          <wp:inline distB="0" distL="0" distR="0" distT="0">
            <wp:extent cx="5372100" cy="4166870"/>
            <wp:effectExtent b="0" l="0" r="0" t="0"/>
            <wp:docPr descr=""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1" name="Picture"/>
                    <pic:cNvPicPr>
                      <a:picLocks noChangeArrowheads="1" noChangeAspect="1"/>
                    </pic:cNvPicPr>
                  </pic:nvPicPr>
                  <pic:blipFill>
                    <a:blip r:embed="rId4"/>
                    <a:srcRect/>
                    <a:stretch>
                      <a:fillRect/>
                    </a:stretch>
                  </pic:blipFill>
                  <pic:spPr bwMode="auto">
                    <a:xfrm>
                      <a:off x="0" y="0"/>
                      <a:ext cx="5372100" cy="4166870"/>
                    </a:xfrm>
                    <a:prstGeom prst="rect">
                      <a:avLst/>
                    </a:prstGeom>
                    <a:noFill/>
                    <a:ln w="9525">
                      <a:noFill/>
                      <a:miter lim="800000"/>
                      <a:headEnd/>
                      <a:tailEnd/>
                    </a:ln>
                  </pic:spPr>
                </pic:pic>
              </a:graphicData>
            </a:graphic>
          </wp:inline>
        </w:drawing>
      </w:r>
    </w:p>
    <w:p>
      <w:pPr>
        <w:pStyle w:val="style0"/>
        <w:jc w:val="right"/>
      </w:pPr>
      <w:r>
        <w:rPr>
          <w:rFonts w:ascii="Calibri" w:cs="Tahoma" w:hAnsi="Calibri"/>
          <w:i/>
          <w:iCs/>
          <w:lang w:val="pl-PL"/>
        </w:rPr>
        <w:t>Załącznik nr 6 do SIWZ</w:t>
      </w:r>
    </w:p>
    <w:p>
      <w:pPr>
        <w:pStyle w:val="style0"/>
        <w:jc w:val="right"/>
      </w:pPr>
      <w:r>
        <w:rPr/>
      </w:r>
    </w:p>
    <w:p>
      <w:pPr>
        <w:pStyle w:val="style0"/>
        <w:jc w:val="center"/>
      </w:pPr>
      <w:r>
        <w:rPr>
          <w:rFonts w:ascii="Calibri" w:cs="Tahoma" w:hAnsi="Calibri"/>
          <w:b/>
          <w:lang w:val="pl-PL"/>
        </w:rPr>
        <w:t xml:space="preserve">UMOWA NR </w:t>
      </w:r>
      <w:r>
        <w:rPr>
          <w:rFonts w:ascii="Calibri" w:cs="Tahoma" w:hAnsi="Calibri"/>
          <w:bCs/>
          <w:lang w:val="pl-PL"/>
        </w:rPr>
        <w:t>..................................</w:t>
      </w:r>
    </w:p>
    <w:p>
      <w:pPr>
        <w:pStyle w:val="style0"/>
        <w:tabs>
          <w:tab w:leader="none" w:pos="5805" w:val="left"/>
        </w:tabs>
      </w:pPr>
      <w:r>
        <w:rPr>
          <w:rFonts w:ascii="Calibri" w:cs="Tahoma" w:hAnsi="Calibri"/>
          <w:b/>
          <w:lang w:val="pl-PL"/>
        </w:rPr>
        <w:tab/>
      </w:r>
    </w:p>
    <w:p>
      <w:pPr>
        <w:pStyle w:val="style41"/>
      </w:pPr>
      <w:r>
        <w:rPr>
          <w:rFonts w:ascii="Calibri" w:cs="Tahoma" w:hAnsi="Calibri"/>
          <w:b w:val="false"/>
          <w:bCs/>
          <w:lang w:val="pl-PL"/>
        </w:rPr>
        <w:t xml:space="preserve">zawarta w dniu ..................................... w Kurowie, </w:t>
      </w:r>
    </w:p>
    <w:p>
      <w:pPr>
        <w:pStyle w:val="style41"/>
      </w:pPr>
      <w:r>
        <w:rPr>
          <w:rFonts w:ascii="Calibri" w:cs="Tahoma" w:hAnsi="Calibri"/>
          <w:b w:val="false"/>
          <w:bCs/>
          <w:lang w:val="pl-PL"/>
        </w:rPr>
        <w:t>pomiędzy</w:t>
      </w:r>
    </w:p>
    <w:p>
      <w:pPr>
        <w:pStyle w:val="style0"/>
      </w:pPr>
      <w:r>
        <w:rPr>
          <w:rFonts w:ascii="Calibri" w:cs="Tahoma" w:hAnsi="Calibri"/>
          <w:bCs/>
          <w:lang w:val="pl-PL"/>
        </w:rPr>
        <w:t>Narwiańskim Parkiem Narodowym, Kurowo 10, 18-204 Kobylin Borzymy, NIP 722-16-26-836, REGON 200668080,</w:t>
      </w:r>
      <w:r>
        <w:rPr>
          <w:rFonts w:ascii="Calibri" w:cs="Tahoma" w:hAnsi="Calibri"/>
          <w:lang w:val="pl-PL"/>
        </w:rPr>
        <w:t xml:space="preserve"> zwanym dalej </w:t>
      </w:r>
      <w:r>
        <w:rPr>
          <w:rFonts w:ascii="Calibri" w:cs="Tahoma" w:hAnsi="Calibri"/>
          <w:bCs/>
          <w:lang w:val="pl-PL"/>
        </w:rPr>
        <w:t>ZAMAWIAJĄCYM</w:t>
      </w:r>
      <w:r>
        <w:rPr>
          <w:rFonts w:ascii="Calibri" w:cs="Tahoma" w:hAnsi="Calibri"/>
          <w:b/>
          <w:lang w:val="pl-PL"/>
        </w:rPr>
        <w:t>,</w:t>
      </w:r>
      <w:r>
        <w:rPr>
          <w:rFonts w:ascii="Calibri" w:cs="Tahoma" w:hAnsi="Calibri"/>
          <w:lang w:val="pl-PL"/>
        </w:rPr>
        <w:t xml:space="preserve"> reprezentowanym przez:</w:t>
      </w:r>
    </w:p>
    <w:p>
      <w:pPr>
        <w:pStyle w:val="style0"/>
      </w:pPr>
      <w:r>
        <w:rPr>
          <w:rFonts w:ascii="Calibri" w:cs="Tahoma" w:hAnsi="Calibri"/>
          <w:lang w:val="pl-PL"/>
        </w:rPr>
        <w:t>Dyrektora Ryszarda Modzelewskiego</w:t>
      </w:r>
    </w:p>
    <w:p>
      <w:pPr>
        <w:pStyle w:val="style0"/>
      </w:pPr>
      <w:r>
        <w:rPr>
          <w:rFonts w:ascii="Calibri" w:cs="Tahoma" w:hAnsi="Calibri"/>
          <w:lang w:val="pl-PL"/>
        </w:rPr>
        <w:t xml:space="preserve">a </w:t>
      </w:r>
    </w:p>
    <w:p>
      <w:pPr>
        <w:pStyle w:val="style0"/>
      </w:pPr>
      <w:r>
        <w:rPr>
          <w:rFonts w:ascii="Calibri" w:cs="Tahoma" w:hAnsi="Calibri"/>
          <w:lang w:val="pl-PL"/>
        </w:rPr>
        <w:t>..........................................................................................................................................................................................................................................................................................................................</w:t>
      </w:r>
    </w:p>
    <w:p>
      <w:pPr>
        <w:pStyle w:val="style0"/>
      </w:pPr>
      <w:r>
        <w:rPr/>
      </w:r>
    </w:p>
    <w:p>
      <w:pPr>
        <w:pStyle w:val="style0"/>
      </w:pPr>
      <w:r>
        <w:rPr>
          <w:rFonts w:ascii="Calibri" w:cs="Tahoma" w:hAnsi="Calibri"/>
          <w:lang w:val="pl-PL"/>
        </w:rPr>
        <w:t>z siedzibą:</w:t>
      </w:r>
    </w:p>
    <w:p>
      <w:pPr>
        <w:pStyle w:val="style0"/>
      </w:pPr>
      <w:r>
        <w:rPr>
          <w:rFonts w:ascii="Calibri" w:cs="Tahoma" w:hAnsi="Calibri"/>
          <w:lang w:val="pl-PL"/>
        </w:rPr>
        <w:t xml:space="preserve">NIP .................................................................... REGON ..................................................................... </w:t>
      </w:r>
    </w:p>
    <w:p>
      <w:pPr>
        <w:pStyle w:val="style0"/>
      </w:pPr>
      <w:r>
        <w:rPr>
          <w:rFonts w:ascii="Calibri" w:cs="Tahoma" w:hAnsi="Calibri"/>
          <w:lang w:val="pl-PL"/>
        </w:rPr>
        <w:t xml:space="preserve">zwanym dalej </w:t>
      </w:r>
      <w:r>
        <w:rPr>
          <w:rFonts w:ascii="Calibri" w:cs="Tahoma" w:hAnsi="Calibri"/>
          <w:bCs/>
          <w:lang w:val="pl-PL"/>
        </w:rPr>
        <w:t>WYKONAWCĄ,</w:t>
      </w:r>
      <w:r>
        <w:rPr>
          <w:rFonts w:ascii="Calibri" w:cs="Tahoma" w:hAnsi="Calibri"/>
          <w:lang w:val="pl-PL"/>
        </w:rPr>
        <w:t xml:space="preserve"> reprezentowanym przez:</w:t>
      </w:r>
    </w:p>
    <w:p>
      <w:pPr>
        <w:pStyle w:val="style0"/>
      </w:pPr>
      <w:r>
        <w:rPr>
          <w:rFonts w:ascii="Calibri" w:cs="Tahoma" w:hAnsi="Calibri"/>
          <w:lang w:val="pl-PL"/>
        </w:rPr>
        <w:t>1. ...................................................................................................................................</w:t>
      </w:r>
    </w:p>
    <w:p>
      <w:pPr>
        <w:pStyle w:val="style0"/>
      </w:pPr>
      <w:r>
        <w:rPr>
          <w:rFonts w:ascii="Calibri" w:cs="Tahoma" w:hAnsi="Calibri"/>
          <w:lang w:val="pl-PL"/>
        </w:rPr>
        <w:t>2. ...................................................................................................................................</w:t>
      </w:r>
    </w:p>
    <w:p>
      <w:pPr>
        <w:pStyle w:val="style0"/>
      </w:pPr>
      <w:r>
        <w:rPr>
          <w:rFonts w:ascii="Calibri" w:cs="Tahoma" w:hAnsi="Calibri"/>
          <w:lang w:val="pl-PL"/>
        </w:rPr>
        <w:t>na podstawie dokonanego przez Zamawiającego wyboru oferty Wykonawcy w postępowaniu prowadzonym w trybie przetargu nieograniczonego.</w:t>
      </w:r>
    </w:p>
    <w:p>
      <w:pPr>
        <w:pStyle w:val="style0"/>
      </w:pPr>
      <w:r>
        <w:rPr>
          <w:rFonts w:ascii="Calibri" w:cs="Tahoma" w:hAnsi="Calibri"/>
          <w:lang w:val="pl-PL"/>
        </w:rPr>
        <w:t xml:space="preserve"> </w:t>
      </w:r>
    </w:p>
    <w:p>
      <w:pPr>
        <w:pStyle w:val="style2"/>
        <w:jc w:val="center"/>
      </w:pPr>
      <w:r>
        <w:rPr>
          <w:rFonts w:ascii="Calibri" w:cs="Tahoma" w:hAnsi="Calibri"/>
          <w:lang w:val="pl-PL"/>
        </w:rPr>
        <w:t>PRZEDMIOT UMOWY</w:t>
      </w:r>
    </w:p>
    <w:p>
      <w:pPr>
        <w:pStyle w:val="style0"/>
        <w:jc w:val="center"/>
      </w:pPr>
      <w:r>
        <w:rPr/>
      </w:r>
    </w:p>
    <w:p>
      <w:pPr>
        <w:pStyle w:val="style0"/>
        <w:jc w:val="center"/>
      </w:pPr>
      <w:r>
        <w:rPr>
          <w:rFonts w:ascii="Arial" w:cs="Tahoma" w:hAnsi="Arial"/>
          <w:lang w:val="pl-PL"/>
        </w:rPr>
        <w:t>§</w:t>
      </w:r>
      <w:r>
        <w:rPr>
          <w:rFonts w:ascii="Calibri" w:cs="Tahoma" w:hAnsi="Calibri"/>
          <w:lang w:val="pl-PL"/>
        </w:rPr>
        <w:t xml:space="preserve"> 1</w:t>
      </w:r>
    </w:p>
    <w:p>
      <w:pPr>
        <w:pStyle w:val="style0"/>
        <w:jc w:val="both"/>
      </w:pPr>
      <w:r>
        <w:rPr>
          <w:rFonts w:ascii="Calibri" w:cs="Tahoma" w:hAnsi="Calibri"/>
          <w:b/>
          <w:lang w:val="pl-PL"/>
        </w:rPr>
        <w:t xml:space="preserve">Przedmiotem niniejszej umowy jest wykonanie prac </w:t>
      </w:r>
      <w:r>
        <w:rPr>
          <w:rFonts w:ascii="Calibri" w:cs="Tahoma" w:hAnsi="Calibri"/>
          <w:b/>
          <w:bCs/>
          <w:iCs/>
          <w:lang w:val="pl-PL"/>
        </w:rPr>
        <w:t xml:space="preserve">związku z realizacją projektu </w:t>
      </w:r>
      <w:r>
        <w:rPr>
          <w:rFonts w:ascii="Calibri" w:cs="Tahoma" w:hAnsi="Calibri"/>
          <w:b/>
          <w:lang w:val="pl-PL"/>
        </w:rPr>
        <w:t>„Ochrona i przywracanie siedlisk ichtiofauny w obszarze Natura 2000 PLH 200002 Narwiańskie Bagna”</w:t>
      </w:r>
      <w:r>
        <w:rPr>
          <w:rFonts w:ascii="Calibri" w:cs="Tahoma" w:hAnsi="Calibri"/>
          <w:b/>
          <w:iCs/>
          <w:lang w:val="pl-PL"/>
        </w:rPr>
        <w:t xml:space="preserve"> współfinansowanego ze środków Unii Europejskiej w ramach Programu Infrastruktura i Środowisko</w:t>
      </w:r>
      <w:r>
        <w:rPr>
          <w:rFonts w:ascii="Calibri" w:cs="Tahoma" w:hAnsi="Calibri"/>
          <w:b/>
          <w:lang w:val="pl-PL"/>
        </w:rPr>
        <w:t xml:space="preserve">, </w:t>
      </w:r>
    </w:p>
    <w:p>
      <w:pPr>
        <w:pStyle w:val="style8"/>
        <w:ind w:hanging="0" w:left="0" w:right="0"/>
        <w:jc w:val="both"/>
      </w:pPr>
      <w:r>
        <w:rPr>
          <w:rFonts w:ascii="Calibri" w:cs="Tahoma" w:hAnsi="Calibri"/>
          <w:b w:val="false"/>
          <w:lang w:val="pl-PL"/>
        </w:rPr>
        <w:t>polegających na:</w:t>
      </w:r>
    </w:p>
    <w:p>
      <w:pPr>
        <w:pStyle w:val="style8"/>
        <w:ind w:hanging="0" w:left="0" w:right="0"/>
      </w:pPr>
      <w:r>
        <w:rPr>
          <w:rFonts w:ascii="Calibri" w:hAnsi="Calibri"/>
          <w:color w:val="000000"/>
          <w:sz w:val="27"/>
          <w:szCs w:val="27"/>
          <w:shd w:fill="FFFFFF" w:val="clear"/>
          <w:lang w:val="pl-PL"/>
        </w:rPr>
        <w:t>MODERNIZACJI WYBRANYCH OBIEKTÓW INFRASTRUKTURY TURYSTYCZNEJ NA OBSZARZE NATURA 2000 BAGIENNA DOLINA NARWI PLB 200001</w:t>
      </w:r>
    </w:p>
    <w:p>
      <w:pPr>
        <w:pStyle w:val="style8"/>
        <w:ind w:hanging="0" w:left="0" w:right="0"/>
        <w:jc w:val="both"/>
      </w:pPr>
      <w:r>
        <w:rPr>
          <w:rFonts w:ascii="Calibri" w:cs="Tahoma" w:hAnsi="Calibri"/>
          <w:b w:val="false"/>
          <w:bCs w:val="false"/>
          <w:lang w:val="pl-PL"/>
        </w:rPr>
        <w:t xml:space="preserve">zgodnie ze specyfikacją istotnych warunków zamówienia i dostarczoną Wykonawcy dokumentacją, stanowiącymi integralną część niniejszej umowy. </w:t>
      </w:r>
    </w:p>
    <w:p>
      <w:pPr>
        <w:pStyle w:val="style2"/>
        <w:jc w:val="center"/>
      </w:pPr>
      <w:r>
        <w:rPr/>
      </w:r>
    </w:p>
    <w:p>
      <w:pPr>
        <w:pStyle w:val="style2"/>
        <w:jc w:val="center"/>
      </w:pPr>
      <w:r>
        <w:rPr>
          <w:rFonts w:ascii="Calibri" w:cs="Tahoma" w:hAnsi="Calibri"/>
          <w:lang w:val="pl-PL"/>
        </w:rPr>
        <w:t>OBOWIĄZKI STRON</w:t>
      </w:r>
    </w:p>
    <w:p>
      <w:pPr>
        <w:pStyle w:val="style0"/>
        <w:jc w:val="center"/>
      </w:pPr>
      <w:r>
        <w:rPr/>
      </w:r>
    </w:p>
    <w:p>
      <w:pPr>
        <w:pStyle w:val="style0"/>
        <w:jc w:val="center"/>
      </w:pPr>
      <w:r>
        <w:rPr>
          <w:rFonts w:ascii="Arial" w:cs="Tahoma" w:hAnsi="Arial"/>
          <w:lang w:val="pl-PL"/>
        </w:rPr>
        <w:t>§</w:t>
      </w:r>
      <w:r>
        <w:rPr>
          <w:rFonts w:ascii="Calibri" w:cs="Tahoma" w:hAnsi="Calibri"/>
          <w:lang w:val="pl-PL"/>
        </w:rPr>
        <w:t xml:space="preserve"> 2</w:t>
      </w:r>
    </w:p>
    <w:p>
      <w:pPr>
        <w:pStyle w:val="style0"/>
        <w:jc w:val="center"/>
      </w:pPr>
      <w:r>
        <w:rPr/>
      </w:r>
    </w:p>
    <w:p>
      <w:pPr>
        <w:pStyle w:val="style0"/>
        <w:numPr>
          <w:ilvl w:val="0"/>
          <w:numId w:val="25"/>
        </w:numPr>
        <w:jc w:val="both"/>
      </w:pPr>
      <w:r>
        <w:rPr>
          <w:rFonts w:ascii="Calibri" w:cs="Tahoma" w:hAnsi="Calibri"/>
          <w:lang w:val="pl-PL"/>
        </w:rPr>
        <w:t xml:space="preserve">Wykonawca zobowiązuje się do wykonania prac określonych w </w:t>
      </w:r>
      <w:r>
        <w:rPr>
          <w:rFonts w:ascii="Arial" w:cs="Tahoma" w:hAnsi="Arial"/>
          <w:lang w:val="pl-PL"/>
        </w:rPr>
        <w:t>§</w:t>
      </w:r>
      <w:r>
        <w:rPr>
          <w:rFonts w:ascii="Calibri" w:cs="Tahoma" w:hAnsi="Calibri"/>
          <w:lang w:val="pl-PL"/>
        </w:rPr>
        <w:t>1 zgodnie ze specyfikacją istotnych warunków zamówienia, dokumentacją techniczną, obowiązującymi przepisami i sztuką budowlaną oraz na ustalonych niniejszą umową warunkach.</w:t>
      </w:r>
    </w:p>
    <w:p>
      <w:pPr>
        <w:pStyle w:val="style0"/>
        <w:numPr>
          <w:ilvl w:val="0"/>
          <w:numId w:val="25"/>
        </w:numPr>
        <w:jc w:val="both"/>
      </w:pPr>
      <w:r>
        <w:rPr>
          <w:rFonts w:ascii="Calibri" w:cs="Tahoma" w:hAnsi="Calibri"/>
          <w:lang w:val="pl-PL"/>
        </w:rPr>
        <w:t xml:space="preserve">Wykonawca przed zgłoszeniem obiektu do odbioru końcowego zobowiązany jest na własny koszt dokonać odbiorów technicznych i sporządzić inwentaryzację powykonawczą. </w:t>
      </w:r>
    </w:p>
    <w:p>
      <w:pPr>
        <w:pStyle w:val="style0"/>
        <w:numPr>
          <w:ilvl w:val="0"/>
          <w:numId w:val="25"/>
        </w:numPr>
        <w:jc w:val="both"/>
      </w:pPr>
      <w:r>
        <w:rPr>
          <w:rFonts w:ascii="Calibri" w:cs="Tahoma" w:hAnsi="Calibri"/>
          <w:lang w:val="pl-PL"/>
        </w:rPr>
        <w:t>Wykonawca zobowiązuje się zabezpieczyć, oznakować roboty oraz dbać o stan techniczny i prawidłowość oznakowania przez cały czas trwania realizacji zadania. Wykonawca ponosi pełną odpowiedzialność za teren budowy od chwili przyjęcia placu budowy.</w:t>
      </w:r>
    </w:p>
    <w:p>
      <w:pPr>
        <w:pStyle w:val="style0"/>
        <w:numPr>
          <w:ilvl w:val="0"/>
          <w:numId w:val="25"/>
        </w:numPr>
        <w:jc w:val="both"/>
      </w:pPr>
      <w:r>
        <w:rPr>
          <w:rFonts w:ascii="Calibri" w:cs="Tahoma" w:hAnsi="Calibri"/>
          <w:lang w:val="pl-PL"/>
        </w:rPr>
        <w:t>Wykonawca zobowiązuje się do przestrzegania na terenie budowy obowiązujących przepisów bhp i ppoż. zgodnie z § 83 ust. 1 Rozporządzenia Ministra Pracy i Polityki Socjalnej z dnia 26.09. 1997r (tekst jednolity Dz.U. z 2003 r. Nr 169 poz. 1650 ) – przed rozpoczęciem robót Wykonawca ustali w podpisanym protokole z Dyrekcją ZSO Nr 4 szczegółowe warunki zapewnienia bezpieczeństwa i higieny pracy podczas prowadzenia robót z podziałem obowiązków w tym zakresie.</w:t>
      </w:r>
    </w:p>
    <w:p>
      <w:pPr>
        <w:pStyle w:val="style0"/>
        <w:numPr>
          <w:ilvl w:val="1"/>
          <w:numId w:val="4"/>
        </w:numPr>
        <w:ind w:hanging="360" w:left="1440" w:right="0"/>
        <w:jc w:val="both"/>
      </w:pPr>
      <w:r>
        <w:rPr>
          <w:rFonts w:ascii="Calibri" w:cs="Tahoma" w:hAnsi="Calibri"/>
          <w:lang w:val="pl-PL"/>
        </w:rPr>
        <w:t>Wykonawca zobowiązuje się do zapewnienia przy robotach odpowiedniego nadzoru technicznego, kierownika budowy prowadzącego na bieżąco wymaganą prawem dokumentację budowlaną oraz pracowników o kwalifikacjach niezbędnych do odpowiedniego i terminowego wykonania robót.</w:t>
      </w:r>
    </w:p>
    <w:p>
      <w:pPr>
        <w:pStyle w:val="style0"/>
        <w:numPr>
          <w:ilvl w:val="1"/>
          <w:numId w:val="4"/>
        </w:numPr>
        <w:ind w:hanging="360" w:left="1440" w:right="0"/>
        <w:jc w:val="both"/>
      </w:pPr>
      <w:r>
        <w:rPr>
          <w:rFonts w:ascii="Calibri" w:cs="Tahoma" w:hAnsi="Calibri"/>
          <w:lang w:val="pl-PL"/>
        </w:rPr>
        <w:t>Zamawiający zobowiązuje się do:</w:t>
      </w:r>
    </w:p>
    <w:p>
      <w:pPr>
        <w:pStyle w:val="style34"/>
        <w:tabs>
          <w:tab w:leader="none" w:pos="2160" w:val="left"/>
        </w:tabs>
        <w:ind w:hanging="360" w:left="720" w:right="0"/>
      </w:pPr>
      <w:r>
        <w:rPr>
          <w:rFonts w:ascii="Calibri" w:cs="Tahoma" w:hAnsi="Calibri"/>
          <w:b w:val="false"/>
          <w:sz w:val="24"/>
          <w:szCs w:val="24"/>
          <w:lang w:val="pl-PL"/>
        </w:rPr>
        <w:t xml:space="preserve">a/ dostarczenia dokumentacji projektowej przedsięwzięcia, </w:t>
      </w:r>
    </w:p>
    <w:p>
      <w:pPr>
        <w:pStyle w:val="style34"/>
        <w:tabs>
          <w:tab w:leader="none" w:pos="2160" w:val="left"/>
        </w:tabs>
        <w:ind w:hanging="360" w:left="720" w:right="0"/>
      </w:pPr>
      <w:r>
        <w:rPr>
          <w:rFonts w:ascii="Calibri" w:cs="Tahoma" w:hAnsi="Calibri"/>
          <w:b w:val="false"/>
          <w:sz w:val="24"/>
          <w:szCs w:val="24"/>
          <w:lang w:val="pl-PL"/>
        </w:rPr>
        <w:t xml:space="preserve">b/ przekazania Wykonawcy placu budowy w terminie do dnia ………………..r. wraz z pozwoleniem na budowę, dziennikiem budowy, </w:t>
      </w:r>
    </w:p>
    <w:p>
      <w:pPr>
        <w:pStyle w:val="style34"/>
        <w:tabs>
          <w:tab w:leader="none" w:pos="2160" w:val="left"/>
        </w:tabs>
        <w:ind w:hanging="360" w:left="720" w:right="0"/>
      </w:pPr>
      <w:r>
        <w:rPr>
          <w:rFonts w:ascii="Calibri" w:cs="Tahoma" w:hAnsi="Calibri"/>
          <w:b w:val="false"/>
          <w:sz w:val="24"/>
          <w:szCs w:val="24"/>
          <w:lang w:val="pl-PL"/>
        </w:rPr>
        <w:t>c/ zapewnienia nadzoru inwestorskiego.</w:t>
      </w:r>
    </w:p>
    <w:p>
      <w:pPr>
        <w:pStyle w:val="style0"/>
        <w:jc w:val="center"/>
      </w:pPr>
      <w:r>
        <w:rPr>
          <w:rFonts w:ascii="Arial" w:cs="Tahoma" w:hAnsi="Arial"/>
          <w:lang w:val="pl-PL"/>
        </w:rPr>
        <w:t>§</w:t>
      </w:r>
      <w:r>
        <w:rPr>
          <w:rFonts w:ascii="Calibri" w:cs="Tahoma" w:hAnsi="Calibri"/>
          <w:lang w:val="pl-PL"/>
        </w:rPr>
        <w:t xml:space="preserve"> 3</w:t>
      </w:r>
    </w:p>
    <w:p>
      <w:pPr>
        <w:pStyle w:val="style0"/>
        <w:jc w:val="center"/>
      </w:pPr>
      <w:r>
        <w:rPr/>
      </w:r>
    </w:p>
    <w:p>
      <w:pPr>
        <w:pStyle w:val="style0"/>
        <w:jc w:val="both"/>
      </w:pPr>
      <w:r>
        <w:rPr>
          <w:rFonts w:ascii="Calibri" w:cs="Tahoma" w:hAnsi="Calibri"/>
          <w:lang w:val="pl-PL"/>
        </w:rPr>
        <w:t>Wykonawca zobowiązuje się do wykonania całości przedmiotu umowy do dnia 30.11.2013 r. z podziałem na nastepujące etapy:</w:t>
      </w:r>
    </w:p>
    <w:p>
      <w:pPr>
        <w:pStyle w:val="style48"/>
        <w:numPr>
          <w:ilvl w:val="0"/>
          <w:numId w:val="40"/>
        </w:numPr>
        <w:jc w:val="both"/>
      </w:pPr>
      <w:r>
        <w:rPr>
          <w:rFonts w:ascii="Calibri" w:cs="Tahoma" w:hAnsi="Calibri"/>
          <w:lang w:val="pl-PL"/>
        </w:rPr>
        <w:t>Modernizacja pola biwakowego w Kolonii Topilec na działce o nr geod. 554, obręb ew. Kolonia Topilec, gm. Turośń Kościelna (pkt 4 przedmiotu zamówienia).</w:t>
      </w:r>
    </w:p>
    <w:p>
      <w:pPr>
        <w:pStyle w:val="style48"/>
        <w:numPr>
          <w:ilvl w:val="0"/>
          <w:numId w:val="40"/>
        </w:numPr>
        <w:jc w:val="both"/>
      </w:pPr>
      <w:r>
        <w:rPr>
          <w:rFonts w:ascii="Calibri" w:cs="Tahoma" w:hAnsi="Calibri"/>
          <w:lang w:val="pl-PL"/>
        </w:rPr>
        <w:t>Modernizacja ścieżki przyrodniczej "Kładka wśród bagien" w Kurowie na działce o nr geod. 4/2, obręb ew. Kurowo, gm. Kobylin Borzymy: wymiana uszkodzonych słupów podtrzymujących (pkt 1a przedmiotu zamówienia).</w:t>
      </w:r>
    </w:p>
    <w:p>
      <w:pPr>
        <w:pStyle w:val="style0"/>
        <w:ind w:firstLine="709" w:left="0" w:right="0"/>
        <w:jc w:val="both"/>
      </w:pPr>
      <w:r>
        <w:rPr>
          <w:rFonts w:ascii="Calibri" w:cs="Tahoma" w:hAnsi="Calibri"/>
          <w:b/>
          <w:lang w:val="pl-PL"/>
        </w:rPr>
        <w:t>- do 15.09.2013 r.</w:t>
      </w:r>
    </w:p>
    <w:p>
      <w:pPr>
        <w:pStyle w:val="style48"/>
        <w:numPr>
          <w:ilvl w:val="0"/>
          <w:numId w:val="40"/>
        </w:numPr>
        <w:jc w:val="both"/>
      </w:pPr>
      <w:r>
        <w:rPr>
          <w:rFonts w:ascii="Calibri" w:cs="Tahoma" w:hAnsi="Calibri"/>
          <w:lang w:val="pl-PL"/>
        </w:rPr>
        <w:t>Modernizacja ścieżki przyrodniczej "Kładka wśród bagien" w Kurowie na działce o nr geod. 4/2, obręb ew. Kurowo, gm. Kobylin Borzymy: wymiana podłogi i poręczy (pkt 1a przedmiotu zamówienia).</w:t>
      </w:r>
    </w:p>
    <w:p>
      <w:pPr>
        <w:pStyle w:val="style48"/>
        <w:numPr>
          <w:ilvl w:val="0"/>
          <w:numId w:val="40"/>
        </w:numPr>
        <w:jc w:val="both"/>
      </w:pPr>
      <w:r>
        <w:rPr>
          <w:rFonts w:ascii="Calibri" w:cs="Tahoma" w:hAnsi="Calibri"/>
          <w:lang w:val="pl-PL"/>
        </w:rPr>
        <w:t>Modernizacja wieży widokowej w Kurowie na działce o nr geod. 4/3, obręb ew. Kurowo,</w:t>
      </w:r>
      <w:r>
        <w:rPr>
          <w:rFonts w:ascii="Calibri" w:cs="Tahoma" w:hAnsi="Calibri"/>
          <w:b/>
          <w:lang w:val="pl-PL"/>
        </w:rPr>
        <w:t xml:space="preserve"> </w:t>
      </w:r>
      <w:r>
        <w:rPr>
          <w:rFonts w:ascii="Calibri" w:cs="Tahoma" w:hAnsi="Calibri"/>
          <w:lang w:val="pl-PL"/>
        </w:rPr>
        <w:t>gm. Kobylin Borzymy (pkt 2 przedmiotu zamówienia).</w:t>
      </w:r>
    </w:p>
    <w:p>
      <w:pPr>
        <w:pStyle w:val="style48"/>
        <w:numPr>
          <w:ilvl w:val="0"/>
          <w:numId w:val="40"/>
        </w:numPr>
        <w:jc w:val="both"/>
      </w:pPr>
      <w:r>
        <w:rPr>
          <w:rFonts w:ascii="Calibri" w:cs="Tahoma" w:hAnsi="Calibri"/>
          <w:lang w:val="pl-PL"/>
        </w:rPr>
        <w:t>Modernizacja wieży widokowej w Kolonii Topilec na działce o nr geod. 554, obręb ew. Kolonia Topilec, gm. Turośń Kościelna (pkt 3 przedmiotu zamówienia).</w:t>
      </w:r>
    </w:p>
    <w:p>
      <w:pPr>
        <w:pStyle w:val="style0"/>
        <w:ind w:firstLine="709" w:left="0" w:right="0"/>
        <w:jc w:val="both"/>
      </w:pPr>
      <w:r>
        <w:rPr>
          <w:rFonts w:ascii="Calibri" w:cs="Tahoma" w:hAnsi="Calibri"/>
          <w:lang w:val="pl-PL"/>
        </w:rPr>
        <w:t xml:space="preserve">- </w:t>
      </w:r>
      <w:r>
        <w:rPr>
          <w:rFonts w:ascii="Calibri" w:cs="Tahoma" w:hAnsi="Calibri"/>
          <w:b/>
          <w:lang w:val="pl-PL"/>
        </w:rPr>
        <w:t>do 15.10.2013 r.</w:t>
      </w:r>
    </w:p>
    <w:p>
      <w:pPr>
        <w:pStyle w:val="style48"/>
        <w:numPr>
          <w:ilvl w:val="0"/>
          <w:numId w:val="40"/>
        </w:numPr>
        <w:jc w:val="both"/>
      </w:pPr>
      <w:r>
        <w:rPr>
          <w:rFonts w:ascii="Calibri" w:cs="Tahoma" w:hAnsi="Calibri"/>
          <w:lang w:val="pl-PL"/>
        </w:rPr>
        <w:t>Modernizacja ścieżki przyrodniczej "Kładka wśród bagien" w Kurowie na działce o nr geod. 4/2, obręb ew. Kurowo, gm. Kobylin Borzymy: poprawienie podjazdów dla osób niepełnosprawnych na kładkę edukacyją; utwardzenie dróg dojściowych żwirem z opaską faszynową i kamieniem polnym (pkt 1 b i 1 c przedmiotu zamówienia).</w:t>
      </w:r>
    </w:p>
    <w:p>
      <w:pPr>
        <w:pStyle w:val="style48"/>
        <w:numPr>
          <w:ilvl w:val="0"/>
          <w:numId w:val="40"/>
        </w:numPr>
        <w:jc w:val="both"/>
      </w:pPr>
      <w:r>
        <w:rPr>
          <w:rFonts w:ascii="Calibri" w:cs="Tahoma" w:hAnsi="Calibri"/>
          <w:lang w:val="pl-PL"/>
        </w:rPr>
        <w:t>Modernizacja ścieżki przyrodniczej "Kładka wśród bagien" w Kurowie na działce o nr geod. 4/2, obręb ew. Kurowo, gm. Kobylin Borzymy: założenie stalowej siatki antypoślizgowej na kładce edukacyjnej; wykonanie i ustawienie 10 szt. drogowskazów do obiektów infrastruktury turystycznej na posesji Narwiańskiego Parku Narodowego w Kurowie wg wzoru stanowiącego załącznik nr 5 do SIWZ; wykonanie i wymiana 10 szt. kolorowych plansz o wymiarach 125x150 cm na istniejących w terenie tablicach informacyjnych. Treść merytoryczna plansz oraz zdjęcia dostarczone zostaną przez Zamawiającego (pkt 1 d, 1 e i 1 f przedmiotu zamówienia).</w:t>
      </w:r>
    </w:p>
    <w:p>
      <w:pPr>
        <w:pStyle w:val="style0"/>
        <w:ind w:firstLine="709" w:left="0" w:right="0"/>
        <w:jc w:val="both"/>
      </w:pPr>
      <w:r>
        <w:rPr>
          <w:rFonts w:ascii="Calibri" w:cs="Tahoma" w:hAnsi="Calibri"/>
          <w:b/>
          <w:lang w:val="pl-PL"/>
        </w:rPr>
        <w:t>- do 30.11.2013 r.</w:t>
      </w:r>
    </w:p>
    <w:p>
      <w:pPr>
        <w:pStyle w:val="style0"/>
        <w:jc w:val="both"/>
      </w:pPr>
      <w:r>
        <w:rPr/>
      </w:r>
    </w:p>
    <w:p>
      <w:pPr>
        <w:pStyle w:val="style0"/>
        <w:ind w:hanging="360" w:left="360" w:right="0"/>
        <w:jc w:val="both"/>
      </w:pPr>
      <w:r>
        <w:rPr>
          <w:rFonts w:ascii="Calibri" w:cs="Tahoma" w:hAnsi="Calibri"/>
          <w:lang w:val="pl-PL"/>
        </w:rPr>
        <w:t xml:space="preserve"> </w:t>
      </w:r>
    </w:p>
    <w:p>
      <w:pPr>
        <w:pStyle w:val="style2"/>
        <w:jc w:val="center"/>
      </w:pPr>
      <w:r>
        <w:rPr>
          <w:rFonts w:ascii="Calibri" w:cs="Tahoma" w:hAnsi="Calibri"/>
          <w:lang w:val="pl-PL"/>
        </w:rPr>
        <w:t>WYNAGRODZENIE ZA PRZEDMIOT UMOWY, ODBIÓR ROBÓT</w:t>
      </w:r>
    </w:p>
    <w:p>
      <w:pPr>
        <w:pStyle w:val="style0"/>
        <w:jc w:val="both"/>
      </w:pPr>
      <w:r>
        <w:rPr/>
      </w:r>
    </w:p>
    <w:p>
      <w:pPr>
        <w:pStyle w:val="style0"/>
        <w:jc w:val="center"/>
      </w:pPr>
      <w:r>
        <w:rPr>
          <w:rFonts w:ascii="Arial" w:cs="Tahoma" w:hAnsi="Arial"/>
          <w:lang w:val="pl-PL"/>
        </w:rPr>
        <w:t>§</w:t>
      </w:r>
      <w:r>
        <w:rPr>
          <w:rFonts w:ascii="Calibri" w:cs="Tahoma" w:hAnsi="Calibri"/>
          <w:lang w:val="pl-PL"/>
        </w:rPr>
        <w:t xml:space="preserve"> 4</w:t>
      </w:r>
    </w:p>
    <w:p>
      <w:pPr>
        <w:pStyle w:val="style0"/>
        <w:jc w:val="center"/>
      </w:pPr>
      <w:r>
        <w:rPr/>
      </w:r>
    </w:p>
    <w:p>
      <w:pPr>
        <w:pStyle w:val="style0"/>
        <w:jc w:val="both"/>
      </w:pPr>
      <w:r>
        <w:rPr>
          <w:rFonts w:ascii="Calibri" w:cs="Tahoma" w:hAnsi="Calibri"/>
          <w:lang w:val="pl-PL"/>
        </w:rPr>
        <w:t>Ustalone w wyniku przetargu wynagrodzenie Wykonawcy wynosi: cena brutto .................... zł (słownie: .........................................................................................................................., cena netto .................................... zł i podatek VAT w wysokości ........%, stanowiący kwotę ....................... zł.</w:t>
      </w:r>
    </w:p>
    <w:p>
      <w:pPr>
        <w:pStyle w:val="style0"/>
        <w:jc w:val="both"/>
      </w:pPr>
      <w:r>
        <w:rPr/>
      </w:r>
    </w:p>
    <w:p>
      <w:pPr>
        <w:pStyle w:val="style0"/>
        <w:jc w:val="center"/>
      </w:pPr>
      <w:r>
        <w:rPr>
          <w:rFonts w:ascii="Arial" w:cs="Tahoma" w:hAnsi="Arial"/>
          <w:lang w:val="pl-PL"/>
        </w:rPr>
        <w:t>§</w:t>
      </w:r>
      <w:r>
        <w:rPr>
          <w:rFonts w:ascii="Calibri" w:cs="Tahoma" w:hAnsi="Calibri"/>
          <w:lang w:val="pl-PL"/>
        </w:rPr>
        <w:t xml:space="preserve"> 5</w:t>
      </w:r>
    </w:p>
    <w:p>
      <w:pPr>
        <w:pStyle w:val="style0"/>
        <w:jc w:val="center"/>
      </w:pPr>
      <w:r>
        <w:rPr/>
      </w:r>
    </w:p>
    <w:p>
      <w:pPr>
        <w:pStyle w:val="style48"/>
        <w:numPr>
          <w:ilvl w:val="0"/>
          <w:numId w:val="18"/>
        </w:numPr>
        <w:jc w:val="both"/>
      </w:pPr>
      <w:r>
        <w:rPr>
          <w:rFonts w:ascii="Calibri" w:cs="Tahoma" w:hAnsi="Calibri"/>
          <w:lang w:val="pl-PL"/>
        </w:rPr>
        <w:t>Zapłata wynagrodzenia za wykonane i potwierdzone przez kierownika budowy oraz wyznaczonego przedstawiciela Narwiańskiego Parku Narodowego prace ujęte w częściowych protokołach odbioru, realizowana będzie w 3 ratach, 30 dni od dat:  15.09.2013 r., 15.10.2013. oraz 30.11.2013 r.na podstawie wystawionych przez Wykonawcę faktur.</w:t>
      </w:r>
    </w:p>
    <w:p>
      <w:pPr>
        <w:pStyle w:val="style0"/>
        <w:numPr>
          <w:ilvl w:val="0"/>
          <w:numId w:val="18"/>
        </w:numPr>
        <w:jc w:val="both"/>
      </w:pPr>
      <w:r>
        <w:rPr>
          <w:rFonts w:ascii="Calibri" w:cs="Tahoma" w:hAnsi="Calibri"/>
          <w:lang w:val="pl-PL"/>
        </w:rPr>
        <w:t>Wynagrodzenie przysługujące Wykonawcy będzie płatne przelewem na jego rachunek w Banku ................................................................................. nr rachunku........................................................................................ w terminie 30 dni od daty otrzymania faktur przez Zamawiającego. Wykonawca winien składać do Zamawiającego oryginał i kopię faktury z protokołami odbioru wykonanych robót.</w:t>
      </w:r>
    </w:p>
    <w:p>
      <w:pPr>
        <w:pStyle w:val="style0"/>
        <w:tabs>
          <w:tab w:leader="none" w:pos="3600" w:val="left"/>
        </w:tabs>
        <w:ind w:hanging="0" w:left="360" w:right="0"/>
        <w:jc w:val="both"/>
      </w:pPr>
      <w:r>
        <w:rPr/>
      </w:r>
    </w:p>
    <w:p>
      <w:pPr>
        <w:pStyle w:val="style0"/>
        <w:jc w:val="center"/>
      </w:pPr>
      <w:r>
        <w:rPr>
          <w:rFonts w:ascii="Arial" w:cs="Tahoma" w:hAnsi="Arial"/>
          <w:lang w:val="pl-PL"/>
        </w:rPr>
        <w:t>§</w:t>
      </w:r>
      <w:r>
        <w:rPr>
          <w:rFonts w:ascii="Calibri" w:cs="Tahoma" w:hAnsi="Calibri"/>
          <w:lang w:val="pl-PL"/>
        </w:rPr>
        <w:t xml:space="preserve"> 6</w:t>
      </w:r>
    </w:p>
    <w:p>
      <w:pPr>
        <w:pStyle w:val="style0"/>
        <w:ind w:hanging="360" w:left="360" w:right="0"/>
        <w:jc w:val="both"/>
      </w:pPr>
      <w:r>
        <w:rPr/>
      </w:r>
    </w:p>
    <w:p>
      <w:pPr>
        <w:pStyle w:val="style48"/>
        <w:numPr>
          <w:ilvl w:val="0"/>
          <w:numId w:val="9"/>
        </w:numPr>
        <w:jc w:val="both"/>
      </w:pPr>
      <w:r>
        <w:rPr>
          <w:rFonts w:ascii="Calibri" w:cs="Tahoma" w:hAnsi="Calibri"/>
          <w:lang w:val="pl-PL"/>
        </w:rPr>
        <w:t>Zamawiający, po zgłoszeniu przez Wykonawcę przedmiotu umowy do odbioru końcowego i potwierdzeniu przez inspektora nadzoru inwestorskiego gotowości obiektu do odbioru, powoła niezwłocznie komisję odbioru końcowego, która w ciągu tygodnia winna zakończyć czynności odbioru lub odmówić odbioru, uzasadniając swoją decyzję na piśmie.</w:t>
      </w:r>
    </w:p>
    <w:p>
      <w:pPr>
        <w:pStyle w:val="style48"/>
        <w:numPr>
          <w:ilvl w:val="0"/>
          <w:numId w:val="9"/>
        </w:numPr>
        <w:jc w:val="both"/>
      </w:pPr>
      <w:r>
        <w:rPr>
          <w:rFonts w:ascii="Calibri" w:cs="Tahoma" w:hAnsi="Calibri"/>
          <w:lang w:val="pl-PL"/>
        </w:rPr>
        <w:t>Dokumentem odbioru będzie spisany protokół zawierający wszelkie ustalenia w toku odbioru, jak też terminy wyznaczone na usunięcie stwierdzonych w tej dacie wad.</w:t>
      </w:r>
    </w:p>
    <w:p>
      <w:pPr>
        <w:pStyle w:val="style48"/>
        <w:numPr>
          <w:ilvl w:val="0"/>
          <w:numId w:val="9"/>
        </w:numPr>
        <w:jc w:val="both"/>
      </w:pPr>
      <w:r>
        <w:rPr>
          <w:rFonts w:ascii="Calibri" w:cs="Tahoma" w:hAnsi="Calibri"/>
          <w:lang w:val="pl-PL"/>
        </w:rPr>
        <w:t>Jeżeli w toku odbioru zostaną stwierdzone wady to Zamawiającemu przysługują następujące uprawnienia:</w:t>
      </w:r>
    </w:p>
    <w:p>
      <w:pPr>
        <w:pStyle w:val="style0"/>
        <w:numPr>
          <w:ilvl w:val="0"/>
          <w:numId w:val="8"/>
        </w:numPr>
        <w:jc w:val="both"/>
      </w:pPr>
      <w:r>
        <w:rPr>
          <w:rFonts w:ascii="Calibri" w:cs="Tahoma" w:hAnsi="Calibri"/>
          <w:lang w:val="pl-PL"/>
        </w:rPr>
        <w:t>jeżeli wady nadają się do usunięcia, może odmówić odbioru do czasu usunięcia wad,</w:t>
      </w:r>
    </w:p>
    <w:p>
      <w:pPr>
        <w:pStyle w:val="style0"/>
        <w:numPr>
          <w:ilvl w:val="0"/>
          <w:numId w:val="8"/>
        </w:numPr>
        <w:jc w:val="both"/>
      </w:pPr>
      <w:r>
        <w:rPr>
          <w:rFonts w:ascii="Calibri" w:cs="Tahoma" w:hAnsi="Calibri"/>
          <w:lang w:val="pl-PL"/>
        </w:rPr>
        <w:t>jeżeli wady nie nadają się do usunięcia, może żądać wykonania przedmiotu odbioru po raz drugi na koszt Wykonawcy lub obniżenia przysługującego wynagrodzenia.</w:t>
      </w:r>
    </w:p>
    <w:p>
      <w:pPr>
        <w:pStyle w:val="style48"/>
        <w:numPr>
          <w:ilvl w:val="0"/>
          <w:numId w:val="9"/>
        </w:numPr>
        <w:jc w:val="both"/>
      </w:pPr>
      <w:r>
        <w:rPr>
          <w:rFonts w:ascii="Calibri" w:cs="Tahoma" w:hAnsi="Calibri"/>
          <w:lang w:val="pl-PL"/>
        </w:rPr>
        <w:t>Wykonawca ma prawo do wystawienia faktury końcowej po usunięciu wszystkich wad. Potwierdzenie usunięcia wad następuje w formie pisemnej w ciągu 3 dni roboczych od daty zgłoszenia ich usunięcia przez Wykonawcę.</w:t>
      </w:r>
    </w:p>
    <w:p>
      <w:pPr>
        <w:pStyle w:val="style48"/>
        <w:numPr>
          <w:ilvl w:val="0"/>
          <w:numId w:val="9"/>
        </w:numPr>
        <w:jc w:val="both"/>
      </w:pPr>
      <w:r>
        <w:rPr>
          <w:rFonts w:ascii="Calibri" w:cs="Tahoma" w:hAnsi="Calibri"/>
          <w:lang w:val="pl-PL"/>
        </w:rPr>
        <w:t>Żądając usunięcia stwierdzonych wad, Zamawiający wyznaczy Wykonawcy termin technicznie uzasadniony na ich usunięcie. Wykonawca nie może odmówić usunięcia wad bez względu na wysokość związanych z tym kosztów.</w:t>
      </w:r>
    </w:p>
    <w:p>
      <w:pPr>
        <w:pStyle w:val="style48"/>
        <w:numPr>
          <w:ilvl w:val="0"/>
          <w:numId w:val="9"/>
        </w:numPr>
        <w:jc w:val="both"/>
      </w:pPr>
      <w:r>
        <w:rPr>
          <w:rFonts w:ascii="Calibri" w:cs="Tahoma" w:hAnsi="Calibri"/>
          <w:lang w:val="pl-PL"/>
        </w:rPr>
        <w:t>W przypadku nie usunięcia przez Wykonawcę zgłoszonej wady w wyznaczonym terminie, Zamawiający może usunąć wadę w zastępstwie Wykonawcy i na jego koszt po uprzednim pisemnym powiadomieniu Wykonawcy.</w:t>
      </w:r>
    </w:p>
    <w:p>
      <w:pPr>
        <w:pStyle w:val="style48"/>
        <w:numPr>
          <w:ilvl w:val="0"/>
          <w:numId w:val="9"/>
        </w:numPr>
        <w:jc w:val="both"/>
      </w:pPr>
      <w:r>
        <w:rPr>
          <w:rFonts w:ascii="Calibri" w:cs="Tahoma" w:hAnsi="Calibri"/>
          <w:lang w:val="pl-PL"/>
        </w:rPr>
        <w:t>W razie stwierdzenia wad nie nadających się do usunięcia, Zamawiający ma prawo obniżyć wynagrodzenie Wykonawcy odpowiednio do utraconej wartości.</w:t>
      </w:r>
    </w:p>
    <w:p>
      <w:pPr>
        <w:pStyle w:val="style48"/>
        <w:numPr>
          <w:ilvl w:val="0"/>
          <w:numId w:val="9"/>
        </w:numPr>
        <w:jc w:val="both"/>
      </w:pPr>
      <w:r>
        <w:rPr>
          <w:rFonts w:ascii="Calibri" w:cs="Tahoma" w:hAnsi="Calibri"/>
          <w:lang w:val="pl-PL"/>
        </w:rPr>
        <w:t>Do czasu zakończenia odbioru końcowego Wykonawca ponosi pełną odpowiedzialność za wykonane roboty.</w:t>
      </w:r>
    </w:p>
    <w:p>
      <w:pPr>
        <w:pStyle w:val="style0"/>
        <w:jc w:val="both"/>
      </w:pPr>
      <w:r>
        <w:rPr/>
      </w:r>
    </w:p>
    <w:p>
      <w:pPr>
        <w:pStyle w:val="style0"/>
        <w:jc w:val="center"/>
      </w:pPr>
      <w:r>
        <w:rPr>
          <w:rFonts w:ascii="Calibri" w:cs="Tahoma" w:hAnsi="Calibri"/>
          <w:b/>
          <w:lang w:val="pl-PL"/>
        </w:rPr>
        <w:t>KARY UMOWNE, GWARANCJE</w:t>
      </w:r>
    </w:p>
    <w:p>
      <w:pPr>
        <w:pStyle w:val="style0"/>
        <w:jc w:val="center"/>
      </w:pPr>
      <w:r>
        <w:rPr/>
      </w:r>
    </w:p>
    <w:p>
      <w:pPr>
        <w:pStyle w:val="style0"/>
        <w:jc w:val="center"/>
      </w:pPr>
      <w:r>
        <w:rPr>
          <w:rFonts w:ascii="Arial" w:cs="Tahoma" w:hAnsi="Arial"/>
          <w:lang w:val="pl-PL"/>
        </w:rPr>
        <w:t>§</w:t>
      </w:r>
      <w:r>
        <w:rPr>
          <w:rFonts w:ascii="Calibri" w:cs="Tahoma" w:hAnsi="Calibri"/>
          <w:lang w:val="pl-PL"/>
        </w:rPr>
        <w:t xml:space="preserve"> 7</w:t>
      </w:r>
    </w:p>
    <w:p>
      <w:pPr>
        <w:pStyle w:val="style0"/>
        <w:numPr>
          <w:ilvl w:val="0"/>
          <w:numId w:val="22"/>
        </w:numPr>
        <w:ind w:hanging="360" w:left="720" w:right="0"/>
        <w:jc w:val="both"/>
      </w:pPr>
      <w:r>
        <w:rPr>
          <w:rFonts w:ascii="Calibri" w:cs="Tahoma" w:hAnsi="Calibri"/>
          <w:lang w:val="pl-PL"/>
        </w:rPr>
        <w:t xml:space="preserve">Wykonawca zapłaci Zamawiającemu karę umowną: </w:t>
      </w:r>
    </w:p>
    <w:p>
      <w:pPr>
        <w:pStyle w:val="style0"/>
        <w:numPr>
          <w:ilvl w:val="0"/>
          <w:numId w:val="23"/>
        </w:numPr>
        <w:tabs>
          <w:tab w:leader="none" w:pos="720" w:val="left"/>
        </w:tabs>
        <w:jc w:val="both"/>
      </w:pPr>
      <w:r>
        <w:rPr>
          <w:rFonts w:ascii="Calibri" w:cs="Tahoma" w:hAnsi="Calibri"/>
          <w:lang w:val="pl-PL"/>
        </w:rPr>
        <w:t xml:space="preserve">w przypadku nie dotrzymania terminu zakończenia prac określonego w </w:t>
      </w:r>
      <w:r>
        <w:rPr>
          <w:rFonts w:ascii="Arial" w:cs="Tahoma" w:hAnsi="Arial"/>
          <w:lang w:val="pl-PL"/>
        </w:rPr>
        <w:t>§</w:t>
      </w:r>
      <w:r>
        <w:rPr>
          <w:rFonts w:ascii="Calibri" w:cs="Tahoma" w:hAnsi="Calibri"/>
          <w:lang w:val="pl-PL"/>
        </w:rPr>
        <w:t xml:space="preserve"> 3 ust. 1 niniejszej umowy w wysokości 0,2 % wynagrodzenia umownego brutto za każdy dzień opóźnienia,</w:t>
      </w:r>
    </w:p>
    <w:p>
      <w:pPr>
        <w:pStyle w:val="style0"/>
        <w:numPr>
          <w:ilvl w:val="0"/>
          <w:numId w:val="23"/>
        </w:numPr>
        <w:tabs>
          <w:tab w:leader="none" w:pos="720" w:val="left"/>
        </w:tabs>
        <w:jc w:val="both"/>
      </w:pPr>
      <w:r>
        <w:rPr>
          <w:rFonts w:ascii="Calibri" w:cs="Tahoma" w:hAnsi="Calibri"/>
          <w:lang w:val="pl-PL"/>
        </w:rPr>
        <w:t>za opóźnienie w usunięciu wad stwierdzonych przy odbiorze końcowym lub stwierdzonych w przeglądach gwarancyjnych w wysokości 0,2 % wynagrodzenia umownego brutto za każdy dzień opóźnienia, liczone od dnia wyznaczonego na usunięcie wad,</w:t>
      </w:r>
    </w:p>
    <w:p>
      <w:pPr>
        <w:pStyle w:val="style0"/>
        <w:numPr>
          <w:ilvl w:val="0"/>
          <w:numId w:val="23"/>
        </w:numPr>
        <w:tabs>
          <w:tab w:leader="none" w:pos="720" w:val="left"/>
        </w:tabs>
        <w:jc w:val="both"/>
      </w:pPr>
      <w:r>
        <w:rPr>
          <w:rFonts w:ascii="Calibri" w:cs="Tahoma" w:hAnsi="Calibri"/>
          <w:lang w:val="pl-PL"/>
        </w:rPr>
        <w:t>za odstąpienie od umowy przez Zamawiającego z przyczyn, za które ponosi odpowiedzialność Wykonawca - w wysokości 10 % wynagrodzenia umownego brutto,</w:t>
      </w:r>
    </w:p>
    <w:p>
      <w:pPr>
        <w:pStyle w:val="style0"/>
        <w:numPr>
          <w:ilvl w:val="0"/>
          <w:numId w:val="23"/>
        </w:numPr>
        <w:tabs>
          <w:tab w:leader="none" w:pos="720" w:val="left"/>
        </w:tabs>
        <w:jc w:val="both"/>
      </w:pPr>
      <w:r>
        <w:rPr>
          <w:rFonts w:ascii="Calibri" w:cs="Tahoma" w:hAnsi="Calibri"/>
          <w:lang w:val="pl-PL"/>
        </w:rPr>
        <w:t>za niewykonanie lub nienależyte wykonanie przedmiotu umowy inne aniżeli określone w pkt a, b, c w wysokości 20 % wynagrodzenia umownego brutto.</w:t>
      </w:r>
    </w:p>
    <w:p>
      <w:pPr>
        <w:pStyle w:val="style0"/>
        <w:numPr>
          <w:ilvl w:val="0"/>
          <w:numId w:val="22"/>
        </w:numPr>
        <w:ind w:hanging="360" w:left="720" w:right="0"/>
        <w:jc w:val="both"/>
      </w:pPr>
      <w:r>
        <w:rPr>
          <w:rFonts w:ascii="Calibri" w:cs="Tahoma" w:hAnsi="Calibri"/>
          <w:lang w:val="pl-PL"/>
        </w:rPr>
        <w:t>Zamawiający zapłaci Wykonawcy karę umowną:</w:t>
      </w:r>
    </w:p>
    <w:p>
      <w:pPr>
        <w:pStyle w:val="style0"/>
        <w:numPr>
          <w:ilvl w:val="0"/>
          <w:numId w:val="24"/>
        </w:numPr>
        <w:tabs>
          <w:tab w:leader="none" w:pos="720" w:val="left"/>
        </w:tabs>
        <w:jc w:val="both"/>
      </w:pPr>
      <w:r>
        <w:rPr>
          <w:rFonts w:ascii="Calibri" w:cs="Tahoma" w:hAnsi="Calibri"/>
          <w:lang w:val="pl-PL"/>
        </w:rPr>
        <w:t xml:space="preserve">w przypadku nie dotrzymania terminu przekazania placu budowy określonego w </w:t>
      </w:r>
      <w:r>
        <w:rPr>
          <w:rFonts w:ascii="Arial" w:cs="Tahoma" w:hAnsi="Arial"/>
          <w:lang w:val="pl-PL"/>
        </w:rPr>
        <w:t>§</w:t>
      </w:r>
      <w:r>
        <w:rPr>
          <w:rFonts w:ascii="Calibri" w:cs="Tahoma" w:hAnsi="Calibri"/>
          <w:lang w:val="pl-PL"/>
        </w:rPr>
        <w:t xml:space="preserve"> 2 pkt. 7 niniejszej umowy w wysokości 0,2</w:t>
      </w:r>
      <w:r>
        <w:rPr>
          <w:rFonts w:ascii="Arial" w:cs="Tahoma" w:hAnsi="Arial"/>
          <w:lang w:val="pl-PL"/>
        </w:rPr>
        <w:t>%</w:t>
      </w:r>
      <w:r>
        <w:rPr>
          <w:rFonts w:ascii="Calibri" w:cs="Tahoma" w:hAnsi="Calibri"/>
          <w:lang w:val="pl-PL"/>
        </w:rPr>
        <w:t xml:space="preserve"> wynagrodzenia umownego brutto za każdy dzień zwłoki,</w:t>
      </w:r>
    </w:p>
    <w:p>
      <w:pPr>
        <w:pStyle w:val="style0"/>
        <w:numPr>
          <w:ilvl w:val="0"/>
          <w:numId w:val="24"/>
        </w:numPr>
        <w:tabs>
          <w:tab w:leader="none" w:pos="720" w:val="left"/>
        </w:tabs>
        <w:jc w:val="both"/>
      </w:pPr>
      <w:r>
        <w:rPr>
          <w:rFonts w:ascii="Calibri" w:cs="Tahoma" w:hAnsi="Calibri"/>
          <w:lang w:val="pl-PL"/>
        </w:rPr>
        <w:t>w przypadku:</w:t>
      </w:r>
    </w:p>
    <w:p>
      <w:pPr>
        <w:pStyle w:val="style0"/>
        <w:numPr>
          <w:ilvl w:val="0"/>
          <w:numId w:val="31"/>
        </w:numPr>
        <w:tabs>
          <w:tab w:leader="none" w:pos="720" w:val="left"/>
        </w:tabs>
        <w:jc w:val="both"/>
      </w:pPr>
      <w:r>
        <w:rPr>
          <w:rFonts w:ascii="Calibri" w:cs="Tahoma" w:hAnsi="Calibri"/>
          <w:lang w:val="pl-PL"/>
        </w:rPr>
        <w:t>zwłoki w opłaceniu faktur zgodnie z obowiązującymi przepisami finansowymi,</w:t>
      </w:r>
    </w:p>
    <w:p>
      <w:pPr>
        <w:pStyle w:val="style0"/>
        <w:numPr>
          <w:ilvl w:val="0"/>
          <w:numId w:val="31"/>
        </w:numPr>
        <w:tabs>
          <w:tab w:leader="none" w:pos="720" w:val="left"/>
        </w:tabs>
        <w:jc w:val="both"/>
      </w:pPr>
      <w:r>
        <w:rPr>
          <w:rFonts w:ascii="Calibri" w:cs="Tahoma" w:hAnsi="Calibri"/>
          <w:lang w:val="pl-PL"/>
        </w:rPr>
        <w:t>odstąpienia od umowy przez Wykonawcę z przyczyn za które ponosi odpowiedzialność Zamawiający - w wysokości 10 % wynagrodzenia umownego, za wyjątkiem wystąpienia sytuacji przedstawionej w art. 145 ust. 1 ustawy Prawo zamówień publicznych.</w:t>
      </w:r>
    </w:p>
    <w:p>
      <w:pPr>
        <w:pStyle w:val="style0"/>
        <w:numPr>
          <w:ilvl w:val="0"/>
          <w:numId w:val="22"/>
        </w:numPr>
        <w:ind w:hanging="360" w:left="720" w:right="0"/>
        <w:jc w:val="both"/>
      </w:pPr>
      <w:r>
        <w:rPr>
          <w:rFonts w:ascii="Calibri" w:cs="Tahoma" w:hAnsi="Calibri"/>
          <w:lang w:val="pl-PL"/>
        </w:rPr>
        <w:t>Strony dopuszczają możliwość dochodzenia odszkodowania do wysokości szkody rzeczywiście poniesionej.</w:t>
      </w:r>
    </w:p>
    <w:p>
      <w:pPr>
        <w:pStyle w:val="style0"/>
        <w:jc w:val="both"/>
      </w:pPr>
      <w:r>
        <w:rPr/>
      </w:r>
    </w:p>
    <w:p>
      <w:pPr>
        <w:pStyle w:val="style0"/>
        <w:jc w:val="center"/>
      </w:pPr>
      <w:r>
        <w:rPr>
          <w:rFonts w:ascii="Arial" w:cs="Tahoma" w:hAnsi="Arial"/>
          <w:lang w:val="pl-PL"/>
        </w:rPr>
        <w:t>§</w:t>
      </w:r>
      <w:r>
        <w:rPr>
          <w:rFonts w:ascii="Calibri" w:cs="Tahoma" w:hAnsi="Calibri"/>
          <w:lang w:val="pl-PL"/>
        </w:rPr>
        <w:t xml:space="preserve"> 8</w:t>
      </w:r>
    </w:p>
    <w:p>
      <w:pPr>
        <w:pStyle w:val="style0"/>
        <w:jc w:val="center"/>
      </w:pPr>
      <w:r>
        <w:rPr/>
      </w:r>
    </w:p>
    <w:p>
      <w:pPr>
        <w:pStyle w:val="style0"/>
        <w:jc w:val="both"/>
      </w:pPr>
      <w:r>
        <w:rPr>
          <w:rFonts w:ascii="Calibri" w:cs="Tahoma" w:hAnsi="Calibri"/>
          <w:lang w:val="pl-PL"/>
        </w:rPr>
        <w:t>Zgłoszenie problemów związanych z realizacją umowy dokonywane będzie przez Zamawiającego niezwłocznie w formie pisemnej.</w:t>
      </w:r>
    </w:p>
    <w:p>
      <w:pPr>
        <w:pStyle w:val="style0"/>
        <w:jc w:val="center"/>
      </w:pPr>
      <w:r>
        <w:rPr/>
      </w:r>
    </w:p>
    <w:p>
      <w:pPr>
        <w:pStyle w:val="style0"/>
        <w:jc w:val="center"/>
      </w:pPr>
      <w:r>
        <w:rPr>
          <w:rFonts w:ascii="Arial" w:cs="Tahoma" w:hAnsi="Arial"/>
          <w:lang w:val="pl-PL"/>
        </w:rPr>
        <w:t>§</w:t>
      </w:r>
      <w:r>
        <w:rPr>
          <w:rFonts w:ascii="Calibri" w:cs="Tahoma" w:hAnsi="Calibri"/>
          <w:lang w:val="pl-PL"/>
        </w:rPr>
        <w:t xml:space="preserve"> 9</w:t>
      </w:r>
    </w:p>
    <w:p>
      <w:pPr>
        <w:pStyle w:val="style0"/>
        <w:jc w:val="center"/>
      </w:pPr>
      <w:r>
        <w:rPr/>
      </w:r>
    </w:p>
    <w:p>
      <w:pPr>
        <w:pStyle w:val="style34"/>
        <w:numPr>
          <w:ilvl w:val="0"/>
          <w:numId w:val="19"/>
        </w:numPr>
      </w:pPr>
      <w:r>
        <w:rPr>
          <w:rFonts w:ascii="Calibri" w:cs="Tahoma" w:hAnsi="Calibri"/>
          <w:b w:val="false"/>
          <w:bCs/>
          <w:sz w:val="24"/>
          <w:szCs w:val="24"/>
          <w:lang w:val="pl-PL"/>
        </w:rPr>
        <w:t>Tytułem zapewnienia należytego wykonania umowy Wykonawca wnosi zabezpieczenie w wysokości 3% wartości robót brutto, co stanowi kwotę …….......................zł w formie innej niż pieniądz tj. ……………………….....................</w:t>
      </w:r>
    </w:p>
    <w:p>
      <w:pPr>
        <w:pStyle w:val="style34"/>
        <w:numPr>
          <w:ilvl w:val="0"/>
          <w:numId w:val="19"/>
        </w:numPr>
      </w:pPr>
      <w:r>
        <w:rPr>
          <w:rFonts w:ascii="Calibri" w:cs="Tahoma" w:hAnsi="Calibri"/>
          <w:b w:val="false"/>
          <w:bCs/>
          <w:sz w:val="24"/>
          <w:szCs w:val="24"/>
          <w:lang w:val="pl-PL"/>
        </w:rPr>
        <w:t>Zabezpieczenie wnoszone w pieniądzu w wysokości ………………………………. zostało wpłacone na konto Zamawiającego ....................................................................................., co stanowi 3% kwoty zabezpieczenia.</w:t>
      </w:r>
    </w:p>
    <w:p>
      <w:pPr>
        <w:pStyle w:val="style34"/>
        <w:numPr>
          <w:ilvl w:val="0"/>
          <w:numId w:val="19"/>
        </w:numPr>
      </w:pPr>
      <w:r>
        <w:rPr>
          <w:rFonts w:ascii="Calibri" w:cs="Tahoma" w:hAnsi="Calibri"/>
          <w:b w:val="false"/>
          <w:bCs/>
          <w:sz w:val="24"/>
          <w:szCs w:val="24"/>
          <w:lang w:val="pl-PL"/>
        </w:rPr>
        <w:t>W przypadku wniesienia zabezpieczenia w formie gwarancji i poręczeń jest ono wystawione na okres obejmujący wykonanie zamówienia oraz na okres rękojmi lub gwarancji .</w:t>
      </w:r>
    </w:p>
    <w:p>
      <w:pPr>
        <w:pStyle w:val="style0"/>
        <w:numPr>
          <w:ilvl w:val="0"/>
          <w:numId w:val="19"/>
        </w:numPr>
        <w:jc w:val="both"/>
      </w:pPr>
      <w:r>
        <w:rPr>
          <w:rFonts w:ascii="Calibri" w:cs="Tahoma" w:hAnsi="Calibri"/>
          <w:lang w:val="pl-PL"/>
        </w:rPr>
        <w:t>Zamawiający zwróci 70% kwoty zabezpieczenia w terminie 30 dni od dnia wykonania zamówienia i uznania przez zamawiającego za należycie wykonane. (na podstawie protokołu odbioru końcowego).</w:t>
      </w:r>
    </w:p>
    <w:p>
      <w:pPr>
        <w:pStyle w:val="style0"/>
        <w:numPr>
          <w:ilvl w:val="0"/>
          <w:numId w:val="19"/>
        </w:numPr>
        <w:jc w:val="both"/>
      </w:pPr>
      <w:r>
        <w:rPr>
          <w:rFonts w:ascii="Calibri" w:cs="Tahoma" w:hAnsi="Calibri"/>
          <w:lang w:val="pl-PL"/>
        </w:rPr>
        <w:t>Pozostałe 30% zatrzymane zostanie na zabezpieczenie roszczeń z tytułu rękojmi za wady i gwarancji jakości i zostanie zwrócone nie później niż w 15 dniu po upływie okresu rękojmi za wady lub gwarancji jakości.</w:t>
      </w:r>
    </w:p>
    <w:p>
      <w:pPr>
        <w:pStyle w:val="style34"/>
        <w:numPr>
          <w:ilvl w:val="0"/>
          <w:numId w:val="19"/>
        </w:numPr>
      </w:pPr>
      <w:r>
        <w:rPr>
          <w:rFonts w:ascii="Calibri" w:cs="Tahoma" w:hAnsi="Calibri"/>
          <w:b w:val="false"/>
          <w:bCs/>
          <w:sz w:val="24"/>
          <w:szCs w:val="24"/>
          <w:lang w:val="pl-PL"/>
        </w:rPr>
        <w:t>W przypadku nienależytego wykonania zamówienia zabezpieczenie staje się własnością Zamawiającego i będzie wykorzystane do zgodnego z umową wykonania robót i pokrycia roszczeń z tytułu rękojmi za wady przedmiotu zamówienia lub gwarancji jakości.</w:t>
      </w:r>
    </w:p>
    <w:p>
      <w:pPr>
        <w:pStyle w:val="style34"/>
        <w:numPr>
          <w:ilvl w:val="0"/>
          <w:numId w:val="19"/>
        </w:numPr>
      </w:pPr>
      <w:r>
        <w:rPr>
          <w:rFonts w:ascii="Calibri" w:cs="Tahoma" w:hAnsi="Calibri"/>
          <w:b w:val="false"/>
          <w:bCs/>
          <w:sz w:val="24"/>
          <w:szCs w:val="24"/>
          <w:lang w:val="pl-PL"/>
        </w:rPr>
        <w:t xml:space="preserve">W przypadku przesunięcia terminu realizacji umowy, Wykonawca zobowiązuje się do uregulowania zabezpieczenia należytego wykonania umowy na okres niezbędny na realizację umowy po przesunięciu terminu. </w:t>
      </w:r>
    </w:p>
    <w:p>
      <w:pPr>
        <w:pStyle w:val="style0"/>
        <w:jc w:val="both"/>
      </w:pPr>
      <w:r>
        <w:rPr>
          <w:rFonts w:ascii="Calibri" w:cs="Tahoma" w:hAnsi="Calibri"/>
          <w:b/>
          <w:lang w:val="pl-PL"/>
        </w:rPr>
        <w:t xml:space="preserve"> </w:t>
      </w:r>
    </w:p>
    <w:p>
      <w:pPr>
        <w:pStyle w:val="style2"/>
        <w:jc w:val="center"/>
      </w:pPr>
      <w:r>
        <w:rPr>
          <w:rFonts w:ascii="Calibri" w:cs="Tahoma" w:hAnsi="Calibri"/>
          <w:lang w:val="pl-PL"/>
        </w:rPr>
        <w:t>POSTANOWIENIA KOŃCOWE</w:t>
      </w:r>
    </w:p>
    <w:p>
      <w:pPr>
        <w:pStyle w:val="style0"/>
        <w:jc w:val="center"/>
      </w:pPr>
      <w:r>
        <w:rPr/>
      </w:r>
    </w:p>
    <w:p>
      <w:pPr>
        <w:pStyle w:val="style0"/>
        <w:jc w:val="center"/>
      </w:pPr>
      <w:r>
        <w:rPr>
          <w:rFonts w:ascii="Arial" w:cs="Tahoma" w:hAnsi="Arial"/>
          <w:lang w:val="pl-PL"/>
        </w:rPr>
        <w:t>§</w:t>
      </w:r>
      <w:r>
        <w:rPr>
          <w:rFonts w:ascii="Calibri" w:cs="Tahoma" w:hAnsi="Calibri"/>
          <w:lang w:val="pl-PL"/>
        </w:rPr>
        <w:t xml:space="preserve"> 10</w:t>
      </w:r>
    </w:p>
    <w:p>
      <w:pPr>
        <w:pStyle w:val="style0"/>
        <w:jc w:val="center"/>
      </w:pPr>
      <w:r>
        <w:rPr/>
      </w:r>
    </w:p>
    <w:p>
      <w:pPr>
        <w:pStyle w:val="style0"/>
        <w:numPr>
          <w:ilvl w:val="0"/>
          <w:numId w:val="21"/>
        </w:numPr>
        <w:ind w:hanging="360" w:left="720" w:right="0"/>
        <w:jc w:val="both"/>
      </w:pPr>
      <w:r>
        <w:rPr>
          <w:rFonts w:ascii="Calibri" w:cs="Tahoma" w:hAnsi="Calibri"/>
          <w:lang w:val="pl-PL"/>
        </w:rPr>
        <w:t xml:space="preserve">Wykonawca zamierza zlecić podwykonawcom za następujący zakres robót: </w:t>
      </w:r>
    </w:p>
    <w:p>
      <w:pPr>
        <w:pStyle w:val="style0"/>
        <w:ind w:hanging="360" w:left="0" w:right="0"/>
        <w:jc w:val="both"/>
      </w:pPr>
      <w:r>
        <w:rPr/>
      </w:r>
    </w:p>
    <w:p>
      <w:pPr>
        <w:pStyle w:val="style0"/>
        <w:numPr>
          <w:ilvl w:val="1"/>
          <w:numId w:val="10"/>
        </w:numPr>
        <w:jc w:val="both"/>
      </w:pPr>
      <w:r>
        <w:rPr>
          <w:rFonts w:ascii="Calibri" w:cs="Tahoma" w:hAnsi="Calibri"/>
          <w:lang w:val="pl-PL"/>
        </w:rPr>
        <w:t>................................................ podwykonawca: ..................................................</w:t>
      </w:r>
    </w:p>
    <w:p>
      <w:pPr>
        <w:pStyle w:val="style0"/>
        <w:ind w:hanging="0" w:left="360" w:right="0"/>
        <w:jc w:val="both"/>
      </w:pPr>
      <w:r>
        <w:rPr/>
      </w:r>
    </w:p>
    <w:p>
      <w:pPr>
        <w:pStyle w:val="style0"/>
        <w:ind w:hanging="0" w:left="360" w:right="0"/>
        <w:jc w:val="both"/>
      </w:pPr>
      <w:r>
        <w:rPr>
          <w:rFonts w:ascii="Calibri" w:cs="Tahoma" w:hAnsi="Calibri"/>
          <w:lang w:val="pl-PL"/>
        </w:rPr>
        <w:t>2) .................................................. podwykonawca: ..................................................</w:t>
      </w:r>
    </w:p>
    <w:p>
      <w:pPr>
        <w:pStyle w:val="style0"/>
        <w:jc w:val="both"/>
      </w:pPr>
      <w:r>
        <w:rPr/>
      </w:r>
    </w:p>
    <w:p>
      <w:pPr>
        <w:pStyle w:val="style0"/>
        <w:numPr>
          <w:ilvl w:val="0"/>
          <w:numId w:val="21"/>
        </w:numPr>
        <w:ind w:hanging="360" w:left="720" w:right="0"/>
        <w:jc w:val="both"/>
      </w:pPr>
      <w:r>
        <w:rPr>
          <w:rFonts w:ascii="Calibri" w:cs="Tahoma" w:hAnsi="Calibri"/>
          <w:lang w:val="pl-PL"/>
        </w:rPr>
        <w:t xml:space="preserve">Do zawarcia przez Wykonawcę umowy o roboty budowlane z podwykonawcą jest wymagana każdorazowo zgodą Zamawiającego. Wykonawca ma obowiązek w ciągu 14 dni od daty zawarcia niniejszej umowy przedstawić Zamawiającemu umowę z podwykonawcą lub jej projekt wraz z częścią dokumentacji dotyczącą wykonania robót określonych w umowie lub jej projekcie. Jeżeli Zamawiający w ciągu 14 dni od jej przedstawienia nie zgłosi na piśmie sprzeciwu lub zastrzeżeń, należy uważać, iż wyraził zgodę na jej zawarcie. </w:t>
      </w:r>
    </w:p>
    <w:p>
      <w:pPr>
        <w:pStyle w:val="style0"/>
        <w:numPr>
          <w:ilvl w:val="0"/>
          <w:numId w:val="21"/>
        </w:numPr>
        <w:ind w:hanging="360" w:left="720" w:right="0"/>
        <w:jc w:val="both"/>
      </w:pPr>
      <w:r>
        <w:rPr>
          <w:rFonts w:ascii="Calibri" w:cs="Tahoma" w:hAnsi="Calibri"/>
          <w:lang w:val="pl-PL"/>
        </w:rPr>
        <w:t xml:space="preserve">Zasadę określoną w ust. 2 stosuje się odpowiednio w przypadku zawarcia umowy podwykonawcy z dalszym podwykonawcą. </w:t>
      </w:r>
    </w:p>
    <w:p>
      <w:pPr>
        <w:pStyle w:val="style0"/>
        <w:numPr>
          <w:ilvl w:val="0"/>
          <w:numId w:val="21"/>
        </w:numPr>
        <w:ind w:hanging="360" w:left="720" w:right="0"/>
        <w:jc w:val="both"/>
      </w:pPr>
      <w:r>
        <w:rPr>
          <w:rFonts w:ascii="Calibri" w:cs="Tahoma" w:hAnsi="Calibri"/>
          <w:lang w:val="pl-PL"/>
        </w:rPr>
        <w:t>Zlecenie wykonania części robót podwykonawcom nie zmienia zobowiązań Wykonawcy wobec Zamawiającego za wykonanie tej części robót. Wykonawca jest odpowiedzialny za działania, uchybienia i zaniedbania podwykonawców i ich pracowników w takim samym stopniu, jakby to były działania Wykonawcy.</w:t>
      </w:r>
    </w:p>
    <w:p>
      <w:pPr>
        <w:pStyle w:val="style0"/>
        <w:numPr>
          <w:ilvl w:val="0"/>
          <w:numId w:val="21"/>
        </w:numPr>
        <w:ind w:hanging="360" w:left="720" w:right="0"/>
        <w:jc w:val="both"/>
      </w:pPr>
      <w:r>
        <w:rPr>
          <w:rFonts w:ascii="Calibri" w:cs="Tahoma" w:hAnsi="Calibri"/>
          <w:lang w:val="pl-PL"/>
        </w:rPr>
        <w:t xml:space="preserve">Zawierający umowę z podwykonawcą oraz Zamawiający i Wykonawca ponoszą solidarną odpowiedzialność za zapłatę wynagrodzenia za roboty budowlane wykonane przez podwykonawcę. </w:t>
      </w:r>
    </w:p>
    <w:p>
      <w:pPr>
        <w:pStyle w:val="style0"/>
        <w:numPr>
          <w:ilvl w:val="0"/>
          <w:numId w:val="21"/>
        </w:numPr>
        <w:ind w:hanging="360" w:left="720" w:right="0"/>
        <w:jc w:val="both"/>
      </w:pPr>
      <w:r>
        <w:rPr>
          <w:rFonts w:ascii="Calibri" w:cs="Tahoma" w:hAnsi="Calibri"/>
          <w:lang w:val="pl-PL"/>
        </w:rPr>
        <w:t xml:space="preserve">W przypadku zawarcia umowy Wykonawcy z podwykonawcą lub podwykonawcy z dalszym podwykonawcą, zmiany lub zatrudnienia nowego podwykonawcy, zmiany warunków umowy z podwykonawcą bez zgody Zamawiającego oraz w przypadku nieuwzględnienia sprzeciwu lub zastrzeżeń do umowy zgłoszonych przez Zamawiającego zgodnie z ustaleniami ust. 3, Zamawiający jest zwolniony z odpowiedzialności określonej w ust. 6. </w:t>
      </w:r>
    </w:p>
    <w:p>
      <w:pPr>
        <w:pStyle w:val="style0"/>
        <w:numPr>
          <w:ilvl w:val="0"/>
          <w:numId w:val="21"/>
        </w:numPr>
        <w:ind w:hanging="360" w:left="720" w:right="0"/>
        <w:jc w:val="both"/>
      </w:pPr>
      <w:r>
        <w:rPr>
          <w:rFonts w:ascii="Calibri" w:cs="Tahoma" w:hAnsi="Calibri"/>
          <w:lang w:val="pl-PL"/>
        </w:rPr>
        <w:t>W sytuacji określonej w ust. 6 Zamawiającemu przysługują uprawnienia w postaci: odmowy podpisania protokołu odbioru robót z tytułu realizacji umowy przez Wykonawcę do czasu dostosowania warunków umów do ustaleń określonych w umowie.</w:t>
      </w:r>
    </w:p>
    <w:p>
      <w:pPr>
        <w:pStyle w:val="style0"/>
        <w:jc w:val="both"/>
      </w:pPr>
      <w:r>
        <w:rPr/>
      </w:r>
    </w:p>
    <w:p>
      <w:pPr>
        <w:pStyle w:val="style0"/>
        <w:jc w:val="center"/>
      </w:pPr>
      <w:r>
        <w:rPr>
          <w:rFonts w:ascii="Arial" w:cs="Tahoma" w:hAnsi="Arial"/>
          <w:lang w:val="pl-PL"/>
        </w:rPr>
        <w:t>§</w:t>
      </w:r>
      <w:r>
        <w:rPr>
          <w:rFonts w:ascii="Calibri" w:cs="Tahoma" w:hAnsi="Calibri"/>
          <w:lang w:val="pl-PL"/>
        </w:rPr>
        <w:t xml:space="preserve"> 11</w:t>
      </w:r>
    </w:p>
    <w:p>
      <w:pPr>
        <w:pStyle w:val="style0"/>
        <w:jc w:val="both"/>
      </w:pPr>
      <w:r>
        <w:rPr/>
      </w:r>
    </w:p>
    <w:p>
      <w:pPr>
        <w:pStyle w:val="style0"/>
        <w:jc w:val="both"/>
      </w:pPr>
      <w:r>
        <w:rPr>
          <w:rFonts w:ascii="Calibri" w:cs="Tahoma" w:hAnsi="Calibri"/>
          <w:lang w:val="pl-PL"/>
        </w:rPr>
        <w:t>Strony wyznaczają swoich przedstawicieli:</w:t>
      </w:r>
    </w:p>
    <w:p>
      <w:pPr>
        <w:pStyle w:val="style0"/>
        <w:jc w:val="both"/>
      </w:pPr>
      <w:r>
        <w:rPr/>
      </w:r>
    </w:p>
    <w:p>
      <w:pPr>
        <w:pStyle w:val="style0"/>
        <w:jc w:val="both"/>
      </w:pPr>
      <w:r>
        <w:rPr>
          <w:rFonts w:ascii="Calibri" w:cs="Tahoma" w:hAnsi="Calibri"/>
          <w:lang w:val="pl-PL"/>
        </w:rPr>
        <w:t>Zamawiający – Bazyli Piliczuk</w:t>
      </w:r>
    </w:p>
    <w:p>
      <w:pPr>
        <w:pStyle w:val="style0"/>
        <w:jc w:val="both"/>
      </w:pPr>
      <w:r>
        <w:rPr/>
      </w:r>
    </w:p>
    <w:p>
      <w:pPr>
        <w:pStyle w:val="style0"/>
        <w:jc w:val="both"/>
      </w:pPr>
      <w:r>
        <w:rPr>
          <w:rFonts w:ascii="Calibri" w:cs="Tahoma" w:hAnsi="Calibri"/>
          <w:lang w:val="pl-PL"/>
        </w:rPr>
        <w:t>Wykonawca - .............................................................................................................</w:t>
      </w:r>
    </w:p>
    <w:p>
      <w:pPr>
        <w:pStyle w:val="style0"/>
        <w:jc w:val="center"/>
      </w:pPr>
      <w:r>
        <w:rPr/>
      </w:r>
    </w:p>
    <w:p>
      <w:pPr>
        <w:pStyle w:val="style0"/>
        <w:jc w:val="center"/>
      </w:pPr>
      <w:r>
        <w:rPr>
          <w:rFonts w:ascii="Arial" w:cs="Tahoma" w:hAnsi="Arial"/>
          <w:lang w:val="pl-PL"/>
        </w:rPr>
        <w:t>§</w:t>
      </w:r>
      <w:r>
        <w:rPr>
          <w:rFonts w:ascii="Calibri" w:cs="Tahoma" w:hAnsi="Calibri"/>
          <w:lang w:val="pl-PL"/>
        </w:rPr>
        <w:t xml:space="preserve"> 12</w:t>
      </w:r>
    </w:p>
    <w:p>
      <w:pPr>
        <w:pStyle w:val="style0"/>
        <w:jc w:val="both"/>
      </w:pPr>
      <w:r>
        <w:rPr/>
      </w:r>
    </w:p>
    <w:p>
      <w:pPr>
        <w:pStyle w:val="style0"/>
        <w:numPr>
          <w:ilvl w:val="0"/>
          <w:numId w:val="20"/>
        </w:numPr>
        <w:jc w:val="both"/>
      </w:pPr>
      <w:r>
        <w:rPr>
          <w:rFonts w:ascii="Calibri" w:cs="Tahoma" w:hAnsi="Calibri"/>
          <w:lang w:val="pl-PL"/>
        </w:rPr>
        <w:t xml:space="preserve">W razie zaistnienia istotnej zmiany okoliczności powodującej, że wykonanie umowy nie leży w interesie publicznym, czego nie można było przewidzieć w chwili zawarcia umowy, Zamawiający może odstąpić od umowy w terminie 30 dni od powzięcia wiadomości o tych okolicznościach. W takim wypadku Wykonawca może żądać jedynie wynagrodzenia należnego mu z tytułu wykonania części umowy. </w:t>
      </w:r>
    </w:p>
    <w:p>
      <w:pPr>
        <w:pStyle w:val="style0"/>
        <w:numPr>
          <w:ilvl w:val="0"/>
          <w:numId w:val="20"/>
        </w:numPr>
        <w:jc w:val="both"/>
      </w:pPr>
      <w:r>
        <w:rPr>
          <w:rFonts w:ascii="Calibri" w:cs="Tahoma" w:hAnsi="Calibri"/>
          <w:lang w:val="pl-PL"/>
        </w:rPr>
        <w:t>Wszelkie zmiany niniejszej umowy wymagają dla swej ważności formy pisemnej pod rygorem nieważności i będą dopuszczalne w granicach unormowania art. 144 ustawy Prawo zamówień publicznych.</w:t>
      </w:r>
    </w:p>
    <w:p>
      <w:pPr>
        <w:pStyle w:val="style0"/>
      </w:pPr>
      <w:r>
        <w:rPr/>
      </w:r>
    </w:p>
    <w:p>
      <w:pPr>
        <w:pStyle w:val="style0"/>
        <w:jc w:val="center"/>
      </w:pPr>
      <w:r>
        <w:rPr>
          <w:rFonts w:ascii="Arial" w:cs="Tahoma" w:hAnsi="Arial"/>
          <w:lang w:val="pl-PL"/>
        </w:rPr>
        <w:t>§</w:t>
      </w:r>
      <w:r>
        <w:rPr>
          <w:rFonts w:ascii="Calibri" w:cs="Tahoma" w:hAnsi="Calibri"/>
          <w:lang w:val="pl-PL"/>
        </w:rPr>
        <w:t xml:space="preserve"> 13</w:t>
      </w:r>
    </w:p>
    <w:p>
      <w:pPr>
        <w:pStyle w:val="style0"/>
        <w:jc w:val="both"/>
      </w:pPr>
      <w:r>
        <w:rPr/>
      </w:r>
    </w:p>
    <w:p>
      <w:pPr>
        <w:pStyle w:val="style0"/>
        <w:jc w:val="both"/>
      </w:pPr>
      <w:r>
        <w:rPr>
          <w:rFonts w:ascii="Calibri" w:cs="Tahoma" w:hAnsi="Calibri"/>
          <w:lang w:val="pl-PL"/>
        </w:rPr>
        <w:t xml:space="preserve">Wykonawca nie ma prawa do przelania, bez zgody Zamawiającego, wierzytelności wynikających z niniejszej umowy na rzecz osób trzecich. </w:t>
      </w:r>
    </w:p>
    <w:p>
      <w:pPr>
        <w:pStyle w:val="style0"/>
        <w:jc w:val="center"/>
      </w:pPr>
      <w:r>
        <w:rPr>
          <w:rFonts w:ascii="Arial" w:cs="Tahoma" w:hAnsi="Arial"/>
          <w:lang w:val="pl-PL"/>
        </w:rPr>
        <w:t>§</w:t>
      </w:r>
      <w:r>
        <w:rPr>
          <w:rFonts w:ascii="Calibri" w:cs="Tahoma" w:hAnsi="Calibri"/>
          <w:lang w:val="pl-PL"/>
        </w:rPr>
        <w:t xml:space="preserve"> 14</w:t>
      </w:r>
    </w:p>
    <w:p>
      <w:pPr>
        <w:pStyle w:val="style0"/>
        <w:jc w:val="both"/>
      </w:pPr>
      <w:r>
        <w:rPr/>
      </w:r>
    </w:p>
    <w:p>
      <w:pPr>
        <w:pStyle w:val="style0"/>
        <w:jc w:val="both"/>
      </w:pPr>
      <w:r>
        <w:rPr>
          <w:rFonts w:ascii="Calibri" w:cs="Tahoma" w:hAnsi="Calibri"/>
          <w:lang w:val="pl-PL"/>
        </w:rPr>
        <w:t>W sprawach nie uregulowanych w umowie zastosowanie mają przepisy Kodeksu Cywilnego, polskiego prawa budowlanego i ustawy Prawo zamówień publicznych.</w:t>
      </w:r>
    </w:p>
    <w:p>
      <w:pPr>
        <w:pStyle w:val="style0"/>
        <w:jc w:val="center"/>
      </w:pPr>
      <w:r>
        <w:rPr>
          <w:rFonts w:ascii="Arial" w:cs="Tahoma" w:hAnsi="Arial"/>
          <w:lang w:val="pl-PL"/>
        </w:rPr>
        <w:t>§</w:t>
      </w:r>
      <w:r>
        <w:rPr>
          <w:rFonts w:ascii="Calibri" w:cs="Tahoma" w:hAnsi="Calibri"/>
          <w:lang w:val="pl-PL"/>
        </w:rPr>
        <w:t xml:space="preserve"> 15</w:t>
      </w:r>
    </w:p>
    <w:p>
      <w:pPr>
        <w:pStyle w:val="style0"/>
        <w:jc w:val="both"/>
      </w:pPr>
      <w:r>
        <w:rPr/>
      </w:r>
    </w:p>
    <w:p>
      <w:pPr>
        <w:pStyle w:val="style0"/>
        <w:jc w:val="both"/>
      </w:pPr>
      <w:r>
        <w:rPr>
          <w:rFonts w:ascii="Calibri" w:cs="Tahoma" w:hAnsi="Calibri"/>
          <w:lang w:val="pl-PL"/>
        </w:rPr>
        <w:t>Spory powstałe na tle realizacji niniejszej umowy będą rozstrzygane przez właściwy rzeczowo sąd powszechny w Białymstoku.</w:t>
      </w:r>
    </w:p>
    <w:p>
      <w:pPr>
        <w:pStyle w:val="style0"/>
        <w:jc w:val="center"/>
      </w:pPr>
      <w:r>
        <w:rPr>
          <w:rFonts w:ascii="Arial" w:cs="Tahoma" w:hAnsi="Arial"/>
          <w:lang w:val="pl-PL"/>
        </w:rPr>
        <w:t>§</w:t>
      </w:r>
      <w:r>
        <w:rPr>
          <w:rFonts w:ascii="Calibri" w:cs="Tahoma" w:hAnsi="Calibri"/>
          <w:lang w:val="pl-PL"/>
        </w:rPr>
        <w:t xml:space="preserve"> 16</w:t>
      </w:r>
    </w:p>
    <w:p>
      <w:pPr>
        <w:pStyle w:val="style0"/>
        <w:jc w:val="both"/>
      </w:pPr>
      <w:r>
        <w:rPr/>
      </w:r>
    </w:p>
    <w:p>
      <w:pPr>
        <w:pStyle w:val="style0"/>
        <w:ind w:hanging="360" w:left="360" w:right="0"/>
      </w:pPr>
      <w:r>
        <w:rPr>
          <w:rFonts w:ascii="Calibri" w:cs="Tahoma" w:hAnsi="Calibri"/>
          <w:lang w:val="pl-PL"/>
        </w:rPr>
        <w:t>1. Umowę sporządzono w 4 jednobrzmiących egzemplarzach po 2 dla każdej ze stron.</w:t>
      </w:r>
    </w:p>
    <w:p>
      <w:pPr>
        <w:pStyle w:val="style0"/>
      </w:pPr>
      <w:r>
        <w:rPr>
          <w:rFonts w:ascii="Calibri" w:cs="Tahoma" w:hAnsi="Calibri"/>
          <w:lang w:val="pl-PL"/>
        </w:rPr>
        <w:t>2. Integralną częścią umowy są:</w:t>
      </w:r>
    </w:p>
    <w:p>
      <w:pPr>
        <w:pStyle w:val="style0"/>
        <w:ind w:hanging="0" w:left="360" w:right="0"/>
      </w:pPr>
      <w:r>
        <w:rPr/>
      </w:r>
    </w:p>
    <w:p>
      <w:pPr>
        <w:pStyle w:val="style0"/>
        <w:numPr>
          <w:ilvl w:val="0"/>
          <w:numId w:val="7"/>
        </w:numPr>
      </w:pPr>
      <w:r>
        <w:rPr>
          <w:rFonts w:ascii="Calibri" w:cs="Tahoma" w:hAnsi="Calibri"/>
          <w:lang w:val="pl-PL"/>
        </w:rPr>
        <w:t xml:space="preserve">oferta przetargowa Wykonawcy </w:t>
      </w:r>
    </w:p>
    <w:p>
      <w:pPr>
        <w:pStyle w:val="style0"/>
        <w:numPr>
          <w:ilvl w:val="0"/>
          <w:numId w:val="7"/>
        </w:numPr>
      </w:pPr>
      <w:r>
        <w:rPr>
          <w:rFonts w:ascii="Calibri" w:cs="Tahoma" w:hAnsi="Calibri"/>
          <w:lang w:val="pl-PL"/>
        </w:rPr>
        <w:t>Specyfikacja Istotnych Warunków Zamówienia.</w:t>
      </w:r>
    </w:p>
    <w:p>
      <w:pPr>
        <w:pStyle w:val="style0"/>
      </w:pPr>
      <w:r>
        <w:rPr/>
      </w:r>
    </w:p>
    <w:p>
      <w:pPr>
        <w:pStyle w:val="style7"/>
        <w:ind w:firstLine="660" w:left="0" w:right="0"/>
        <w:jc w:val="left"/>
      </w:pPr>
      <w:r>
        <w:rPr>
          <w:rFonts w:ascii="Calibri" w:cs="Tahoma" w:hAnsi="Calibri"/>
          <w:color w:val="00000A"/>
          <w:lang w:val="pl-PL"/>
        </w:rPr>
        <w:t xml:space="preserve"> </w:t>
      </w:r>
      <w:r>
        <w:rPr>
          <w:rFonts w:ascii="Calibri" w:cs="Tahoma" w:hAnsi="Calibri"/>
          <w:color w:val="00000A"/>
          <w:lang w:val="pl-PL"/>
        </w:rPr>
        <w:t xml:space="preserve">ZAMAWIAJĄCY : </w:t>
        <w:tab/>
        <w:tab/>
        <w:tab/>
        <w:tab/>
        <w:tab/>
        <w:tab/>
        <w:t>WYKONAWCA:</w:t>
      </w:r>
    </w:p>
    <w:p>
      <w:pPr>
        <w:pStyle w:val="style0"/>
      </w:pPr>
      <w:r>
        <w:rPr>
          <w:rFonts w:ascii="Calibri" w:cs="Tahoma" w:hAnsi="Calibri"/>
          <w:b/>
          <w:lang w:val="pl-PL"/>
        </w:rPr>
        <w:t xml:space="preserve"> </w:t>
      </w:r>
    </w:p>
    <w:p>
      <w:pPr>
        <w:pStyle w:val="style0"/>
        <w:ind w:firstLine="708" w:left="0" w:right="0"/>
      </w:pPr>
      <w:r>
        <w:rPr/>
      </w:r>
    </w:p>
    <w:p>
      <w:pPr>
        <w:pStyle w:val="style0"/>
        <w:ind w:firstLine="708" w:left="0" w:right="0"/>
      </w:pPr>
      <w:r>
        <w:rPr/>
      </w:r>
    </w:p>
    <w:p>
      <w:pPr>
        <w:pStyle w:val="style0"/>
        <w:ind w:firstLine="708" w:left="0" w:right="0"/>
      </w:pPr>
      <w:r>
        <w:rPr/>
      </w:r>
    </w:p>
    <w:p>
      <w:pPr>
        <w:pStyle w:val="style0"/>
      </w:pPr>
      <w:r>
        <w:rPr>
          <w:rFonts w:ascii="Calibri" w:cs="Tahoma" w:hAnsi="Calibri"/>
          <w:lang w:val="pl-PL"/>
        </w:rPr>
        <w:t xml:space="preserve"> </w:t>
      </w:r>
      <w:r>
        <w:rPr>
          <w:rFonts w:ascii="Calibri" w:cs="Tahoma" w:hAnsi="Calibri"/>
          <w:lang w:val="pl-PL"/>
        </w:rPr>
        <w:t>.................................................</w:t>
        <w:tab/>
        <w:tab/>
        <w:tab/>
        <w:tab/>
        <w:t xml:space="preserve"> .............................................. </w:t>
      </w:r>
    </w:p>
    <w:p>
      <w:pPr>
        <w:pStyle w:val="style0"/>
      </w:pPr>
      <w:r>
        <w:rPr/>
      </w:r>
    </w:p>
    <w:sectPr>
      <w:footerReference r:id="rId6" w:type="default"/>
      <w:type w:val="nextPage"/>
      <w:pgSz w:h="16838" w:w="11906"/>
      <w:pgMar w:bottom="1417" w:footer="720" w:gutter="0" w:header="0" w:left="1417" w:right="926" w:top="1417"/>
      <w:pgNumType w:fmt="decimal"/>
      <w:formProt w:val="false"/>
      <w:textDirection w:val="lrTb"/>
      <w:docGrid w:charSpace="0" w:linePitch="360" w:type="default"/>
    </w:sectPr>
  </w:body>
</w:document>
</file>

<file path=word/fontTable.xml><?xml version="1.0" encoding="utf-8"?>
<w:fonts xmlns:r="http://schemas.openxmlformats.org/officeDocument/2006/relationship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ee"/>
    <w:family w:val="roman"/>
    <w:pitch w:val="variable"/>
  </w:font>
  <w:font w:name="Garamond">
    <w:charset w:val="ee"/>
    <w:family w:val="roman"/>
    <w:pitch w:val="variable"/>
  </w:font>
  <w:font w:name="Arial">
    <w:charset w:val="ee"/>
    <w:family w:val="roman"/>
    <w:pitch w:val="variable"/>
  </w:font>
  <w:font w:name="Arial Narrow">
    <w:charset w:val="ee"/>
    <w:family w:val="roman"/>
    <w:pitch w:val="variable"/>
  </w:font>
  <w:font w:name="Book Antiqua">
    <w:charset w:val="ee"/>
    <w:family w:val="roman"/>
    <w:pitch w:val="variable"/>
  </w:font>
  <w:font w:name="Lucida Grande CE">
    <w:charset w:val="ee"/>
    <w:family w:val="roman"/>
    <w:pitch w:val="variable"/>
  </w:font>
  <w:font w:name="Arial">
    <w:charset w:val="ee"/>
    <w:family w:val="swiss"/>
    <w:pitch w:val="variable"/>
  </w:font>
  <w:font w:name="Calibri">
    <w:charset w:val="ee"/>
    <w:family w:val="roman"/>
    <w:pitch w:val="variable"/>
  </w:font>
  <w:font w:name="Times New Roman">
    <w:charset w:val="80"/>
    <w:family w:val="roman"/>
    <w:pitch w:val="variable"/>
  </w:font>
  <w:font w:name="Courier New">
    <w:charset w:val="80"/>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p>
    <w:pPr>
      <w:pStyle w:val="style0"/>
    </w:pPr>
    <w:r>
      <w:rPr/>
      <w:fldChar w:fldCharType="begin"/>
    </w:r>
    <w:r>
      <w:instrText> PAGE </w:instrText>
    </w:r>
    <w:r>
      <w:fldChar w:fldCharType="separate"/>
    </w:r>
    <w:r>
      <w:t>5</w:t>
    </w:r>
    <w:r>
      <w:fldChar w:fldCharType="end"/>
    </w:r>
  </w:p>
  <w:p>
    <w:pPr>
      <w:pStyle w:val="style0"/>
    </w:pPr>
    <w:r>
      <w:rPr/>
      <w:fldChar w:fldCharType="begin"/>
    </w:r>
    <w:r>
      <w:instrText> PAGE </w:instrText>
    </w:r>
    <w:r>
      <w:fldChar w:fldCharType="separate"/>
    </w:r>
    <w:r>
      <w:t>5</w:t>
    </w:r>
    <w:r>
      <w:fldChar w:fldCharType="end"/>
    </w:r>
  </w:p>
  <w:p>
    <w:pPr>
      <w:pStyle w:val="style46"/>
      <w:ind w:hanging="0" w:left="0" w:right="360"/>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p>
    <w:pPr>
      <w:pStyle w:val="style0"/>
    </w:pPr>
    <w:r>
      <w:rPr/>
      <w:fldChar w:fldCharType="begin"/>
    </w:r>
    <w:r>
      <w:instrText> PAGE </w:instrText>
    </w:r>
    <w:r>
      <w:fldChar w:fldCharType="separate"/>
    </w:r>
    <w:r>
      <w:t>23</w:t>
    </w:r>
    <w:r>
      <w:fldChar w:fldCharType="end"/>
    </w:r>
  </w:p>
  <w:p>
    <w:pPr>
      <w:pStyle w:val="style0"/>
    </w:pPr>
    <w:r>
      <w:rPr/>
      <w:fldChar w:fldCharType="begin"/>
    </w:r>
    <w:r>
      <w:instrText> PAGE </w:instrText>
    </w:r>
    <w:r>
      <w:fldChar w:fldCharType="separate"/>
    </w:r>
    <w:r>
      <w:t>23</w:t>
    </w:r>
    <w:r>
      <w:fldChar w:fldCharType="end"/>
    </w:r>
  </w:p>
  <w:p>
    <w:pPr>
      <w:pStyle w:val="style46"/>
      <w:ind w:hanging="0" w:left="0" w:right="360"/>
    </w:pPr>
    <w:r>
      <w:rPr/>
    </w:r>
  </w:p>
</w:ftr>
</file>

<file path=word/numbering.xml><?xml version="1.0" encoding="utf-8"?>
<w:numbering xmlns:w="http://schemas.openxmlformats.org/wordprocessingml/2006/main">
  <w:abstractNum w:abstractNumId="1">
    <w:lvl w:ilvl="0">
      <w:start w:val="1"/>
      <w:numFmt w:val="decimal"/>
      <w:lvlText w:val="%1."/>
      <w:lvlJc w:val="left"/>
      <w:pPr>
        <w:tabs>
          <w:tab w:pos="1080" w:val="num"/>
        </w:tabs>
        <w:ind w:hanging="360" w:left="1080"/>
      </w:pPr>
    </w:lvl>
    <w:lvl w:ilvl="1">
      <w:start w:val="1"/>
      <w:numFmt w:val="decimal"/>
      <w:lvlText w:val="%2."/>
      <w:lvlJc w:val="left"/>
      <w:pPr>
        <w:tabs>
          <w:tab w:pos="1440" w:val="num"/>
        </w:tabs>
        <w:ind w:hanging="360" w:left="1440"/>
      </w:pPr>
    </w:lvl>
    <w:lvl w:ilvl="2">
      <w:start w:val="1"/>
      <w:numFmt w:val="decimal"/>
      <w:lvlText w:val="%3."/>
      <w:lvlJc w:val="left"/>
      <w:pPr>
        <w:tabs>
          <w:tab w:pos="2160" w:val="num"/>
        </w:tabs>
        <w:ind w:hanging="360" w:left="2160"/>
      </w:pPr>
    </w:lvl>
    <w:lvl w:ilvl="3">
      <w:start w:val="1"/>
      <w:numFmt w:val="decimal"/>
      <w:lvlText w:val="%4."/>
      <w:lvlJc w:val="left"/>
      <w:pPr>
        <w:tabs>
          <w:tab w:pos="2880" w:val="num"/>
        </w:tabs>
        <w:ind w:hanging="360" w:left="2880"/>
      </w:pPr>
    </w:lvl>
    <w:lvl w:ilvl="4">
      <w:start w:val="1"/>
      <w:numFmt w:val="decimal"/>
      <w:lvlText w:val="%5."/>
      <w:lvlJc w:val="left"/>
      <w:pPr>
        <w:tabs>
          <w:tab w:pos="3600" w:val="num"/>
        </w:tabs>
        <w:ind w:hanging="360" w:left="3600"/>
      </w:pPr>
    </w:lvl>
    <w:lvl w:ilvl="5">
      <w:start w:val="1"/>
      <w:numFmt w:val="decimal"/>
      <w:lvlText w:val="%6."/>
      <w:lvlJc w:val="left"/>
      <w:pPr>
        <w:tabs>
          <w:tab w:pos="4320" w:val="num"/>
        </w:tabs>
        <w:ind w:hanging="360" w:left="4320"/>
      </w:pPr>
    </w:lvl>
    <w:lvl w:ilvl="6">
      <w:start w:val="1"/>
      <w:numFmt w:val="decimal"/>
      <w:lvlText w:val="%7."/>
      <w:lvlJc w:val="left"/>
      <w:pPr>
        <w:tabs>
          <w:tab w:pos="5040" w:val="num"/>
        </w:tabs>
        <w:ind w:hanging="360" w:left="5040"/>
      </w:pPr>
    </w:lvl>
    <w:lvl w:ilvl="7">
      <w:start w:val="1"/>
      <w:numFmt w:val="decimal"/>
      <w:lvlText w:val="%8."/>
      <w:lvlJc w:val="left"/>
      <w:pPr>
        <w:tabs>
          <w:tab w:pos="5760" w:val="num"/>
        </w:tabs>
        <w:ind w:hanging="360" w:left="5760"/>
      </w:pPr>
    </w:lvl>
    <w:lvl w:ilvl="8">
      <w:start w:val="1"/>
      <w:numFmt w:val="decimal"/>
      <w:lvlText w:val="%9."/>
      <w:lvlJc w:val="left"/>
      <w:pPr>
        <w:tabs>
          <w:tab w:pos="6480" w:val="num"/>
        </w:tabs>
        <w:ind w:hanging="360" w:left="6480"/>
      </w:pPr>
    </w:lvl>
  </w:abstractNum>
  <w:abstractNum w:abstractNumId="2">
    <w:lvl w:ilvl="0">
      <w:start w:val="1"/>
      <w:numFmt w:val="decimal"/>
      <w:lvlText w:val="%1."/>
      <w:lvlJc w:val="left"/>
      <w:pPr>
        <w:tabs>
          <w:tab w:pos="1068" w:val="num"/>
        </w:tabs>
        <w:ind w:hanging="360" w:left="1068"/>
      </w:pPr>
    </w:lvl>
    <w:lvl w:ilvl="1">
      <w:start w:val="1"/>
      <w:numFmt w:val="decimal"/>
      <w:lvlText w:val="%2)"/>
      <w:lvlJc w:val="left"/>
      <w:pPr>
        <w:tabs>
          <w:tab w:pos="1788" w:val="num"/>
        </w:tabs>
        <w:ind w:hanging="360" w:left="1788"/>
      </w:pPr>
      <w:rPr>
        <w:b/>
      </w:rPr>
    </w:lvl>
    <w:lvl w:ilvl="2">
      <w:start w:val="1"/>
      <w:numFmt w:val="bullet"/>
      <w:lvlText w:val=""/>
      <w:lvlJc w:val="left"/>
      <w:pPr>
        <w:tabs>
          <w:tab w:pos="2688" w:val="num"/>
        </w:tabs>
        <w:ind w:hanging="360" w:left="2688"/>
      </w:pPr>
      <w:rPr>
        <w:rFonts w:ascii="Symbol" w:cs="Symbol" w:hAnsi="Symbol" w:hint="default"/>
      </w:rPr>
    </w:lvl>
    <w:lvl w:ilvl="3">
      <w:start w:val="1"/>
      <w:numFmt w:val="decimal"/>
      <w:lvlText w:val="%4)"/>
      <w:lvlJc w:val="left"/>
      <w:pPr>
        <w:tabs>
          <w:tab w:pos="3228" w:val="num"/>
        </w:tabs>
        <w:ind w:hanging="360" w:left="3228"/>
      </w:pPr>
      <w:rPr>
        <w:b/>
      </w:rPr>
    </w:lvl>
    <w:lvl w:ilvl="4">
      <w:start w:val="1"/>
      <w:numFmt w:val="decimal"/>
      <w:lvlText w:val="%5."/>
      <w:lvlJc w:val="left"/>
      <w:pPr>
        <w:tabs>
          <w:tab w:pos="3948" w:val="num"/>
        </w:tabs>
        <w:ind w:hanging="360" w:left="3948"/>
      </w:pPr>
    </w:lvl>
    <w:lvl w:ilvl="5">
      <w:start w:val="1"/>
      <w:numFmt w:val="decimal"/>
      <w:lvlText w:val="%6."/>
      <w:lvlJc w:val="left"/>
      <w:pPr>
        <w:tabs>
          <w:tab w:pos="4848" w:val="num"/>
        </w:tabs>
        <w:ind w:hanging="360" w:left="4848"/>
      </w:pPr>
    </w:lvl>
    <w:lvl w:ilvl="6">
      <w:start w:val="1"/>
      <w:numFmt w:val="decimal"/>
      <w:lvlText w:val="%7."/>
      <w:lvlJc w:val="left"/>
      <w:pPr>
        <w:tabs>
          <w:tab w:pos="5388" w:val="num"/>
        </w:tabs>
        <w:ind w:hanging="360" w:left="5388"/>
      </w:pPr>
    </w:lvl>
    <w:lvl w:ilvl="7">
      <w:start w:val="1"/>
      <w:numFmt w:val="decimal"/>
      <w:lvlText w:val="%8."/>
      <w:lvlJc w:val="left"/>
      <w:pPr>
        <w:tabs>
          <w:tab w:pos="6108" w:val="num"/>
        </w:tabs>
        <w:ind w:hanging="360" w:left="6108"/>
      </w:pPr>
    </w:lvl>
    <w:lvl w:ilvl="8">
      <w:start w:val="1"/>
      <w:numFmt w:val="decimal"/>
      <w:lvlText w:val="%9."/>
      <w:lvlJc w:val="left"/>
      <w:pPr>
        <w:tabs>
          <w:tab w:pos="6828" w:val="num"/>
        </w:tabs>
        <w:ind w:hanging="360" w:left="6828"/>
      </w:pPr>
    </w:lvl>
  </w:abstractNum>
  <w:abstractNum w:abstractNumId="3">
    <w:lvl w:ilvl="0">
      <w:start w:val="4"/>
      <w:numFmt w:val="bullet"/>
      <w:lvlText w:val="-"/>
      <w:lvlJc w:val="left"/>
      <w:pPr>
        <w:tabs>
          <w:tab w:pos="360" w:val="num"/>
        </w:tabs>
        <w:ind w:hanging="360" w:left="360"/>
      </w:pPr>
      <w:rPr>
        <w:rFonts w:ascii="Times New Roman" w:cs="Times New Roman" w:hAnsi="Times New Roman" w:hint="default"/>
        <w:b/>
      </w:rPr>
    </w:lvl>
    <w:lvl w:ilvl="1">
      <w:start w:val="1"/>
      <w:numFmt w:val="decimal"/>
      <w:lvlText w:val="%2."/>
      <w:lvlJc w:val="left"/>
      <w:pPr>
        <w:tabs>
          <w:tab w:pos="1080" w:val="num"/>
        </w:tabs>
        <w:ind w:hanging="360" w:left="1080"/>
      </w:pPr>
    </w:lvl>
    <w:lvl w:ilvl="2">
      <w:start w:val="1"/>
      <w:numFmt w:val="decimal"/>
      <w:lvlText w:val="%3."/>
      <w:lvlJc w:val="left"/>
      <w:pPr>
        <w:tabs>
          <w:tab w:pos="1440" w:val="num"/>
        </w:tabs>
        <w:ind w:hanging="360" w:left="1440"/>
      </w:pPr>
    </w:lvl>
    <w:lvl w:ilvl="3">
      <w:start w:val="1"/>
      <w:numFmt w:val="decimal"/>
      <w:lvlText w:val="%4."/>
      <w:lvlJc w:val="left"/>
      <w:pPr>
        <w:tabs>
          <w:tab w:pos="1800" w:val="num"/>
        </w:tabs>
        <w:ind w:hanging="360" w:left="1800"/>
      </w:pPr>
    </w:lvl>
    <w:lvl w:ilvl="4">
      <w:start w:val="1"/>
      <w:numFmt w:val="decimal"/>
      <w:lvlText w:val="%5."/>
      <w:lvlJc w:val="left"/>
      <w:pPr>
        <w:tabs>
          <w:tab w:pos="2160" w:val="num"/>
        </w:tabs>
        <w:ind w:hanging="360" w:left="2160"/>
      </w:pPr>
    </w:lvl>
    <w:lvl w:ilvl="5">
      <w:start w:val="1"/>
      <w:numFmt w:val="decimal"/>
      <w:lvlText w:val="%6."/>
      <w:lvlJc w:val="left"/>
      <w:pPr>
        <w:tabs>
          <w:tab w:pos="2520" w:val="num"/>
        </w:tabs>
        <w:ind w:hanging="360" w:left="2520"/>
      </w:pPr>
    </w:lvl>
    <w:lvl w:ilvl="6">
      <w:start w:val="1"/>
      <w:numFmt w:val="decimal"/>
      <w:lvlText w:val="%7."/>
      <w:lvlJc w:val="left"/>
      <w:pPr>
        <w:tabs>
          <w:tab w:pos="2880" w:val="num"/>
        </w:tabs>
        <w:ind w:hanging="360" w:left="2880"/>
      </w:pPr>
    </w:lvl>
    <w:lvl w:ilvl="7">
      <w:start w:val="1"/>
      <w:numFmt w:val="decimal"/>
      <w:lvlText w:val="%8."/>
      <w:lvlJc w:val="left"/>
      <w:pPr>
        <w:tabs>
          <w:tab w:pos="3240" w:val="num"/>
        </w:tabs>
        <w:ind w:hanging="360" w:left="3240"/>
      </w:pPr>
    </w:lvl>
    <w:lvl w:ilvl="8">
      <w:start w:val="1"/>
      <w:numFmt w:val="decimal"/>
      <w:lvlText w:val="%9."/>
      <w:lvlJc w:val="left"/>
      <w:pPr>
        <w:tabs>
          <w:tab w:pos="3600" w:val="num"/>
        </w:tabs>
        <w:ind w:hanging="360" w:left="3600"/>
      </w:pPr>
    </w:lvl>
  </w:abstractNum>
  <w:abstractNum w:abstractNumId="4">
    <w:lvl w:ilvl="0">
      <w:start w:val="1"/>
      <w:numFmt w:val="decimal"/>
      <w:lvlText w:val="%1)"/>
      <w:lvlJc w:val="left"/>
      <w:pPr>
        <w:tabs>
          <w:tab w:pos="1117" w:val="num"/>
        </w:tabs>
        <w:ind w:hanging="397" w:left="1117"/>
      </w:pPr>
    </w:lvl>
    <w:lvl w:ilvl="1">
      <w:start w:val="1"/>
      <w:numFmt w:val="decimal"/>
      <w:lvlText w:val="%2."/>
      <w:lvlJc w:val="left"/>
      <w:pPr>
        <w:tabs>
          <w:tab w:pos="1440" w:val="num"/>
        </w:tabs>
        <w:ind w:hanging="360" w:left="1440"/>
      </w:pPr>
    </w:lvl>
    <w:lvl w:ilvl="2">
      <w:start w:val="21"/>
      <w:numFmt w:val="upperRoman"/>
      <w:lvlText w:val="%3."/>
      <w:lvlJc w:val="left"/>
      <w:pPr>
        <w:tabs>
          <w:tab w:pos="2700" w:val="num"/>
        </w:tabs>
        <w:ind w:hanging="720" w:left="2700"/>
      </w:pPr>
    </w:lvl>
    <w:lvl w:ilvl="3">
      <w:start w:val="1"/>
      <w:numFmt w:val="decimal"/>
      <w:lvlText w:val="%4."/>
      <w:lvlJc w:val="left"/>
      <w:pPr>
        <w:tabs>
          <w:tab w:pos="2880" w:val="num"/>
        </w:tabs>
        <w:ind w:hanging="360" w:left="2880"/>
      </w:pPr>
    </w:lvl>
    <w:lvl w:ilvl="4">
      <w:start w:val="1"/>
      <w:numFmt w:val="decimal"/>
      <w:lvlText w:val="%5."/>
      <w:lvlJc w:val="left"/>
      <w:pPr>
        <w:tabs>
          <w:tab w:pos="3600" w:val="num"/>
        </w:tabs>
        <w:ind w:hanging="360" w:left="3600"/>
      </w:pPr>
    </w:lvl>
    <w:lvl w:ilvl="5">
      <w:start w:val="1"/>
      <w:numFmt w:val="decimal"/>
      <w:lvlText w:val="%6."/>
      <w:lvlJc w:val="left"/>
      <w:pPr>
        <w:tabs>
          <w:tab w:pos="4320" w:val="num"/>
        </w:tabs>
        <w:ind w:hanging="360" w:left="4320"/>
      </w:pPr>
    </w:lvl>
    <w:lvl w:ilvl="6">
      <w:start w:val="1"/>
      <w:numFmt w:val="decimal"/>
      <w:lvlText w:val="%7."/>
      <w:lvlJc w:val="left"/>
      <w:pPr>
        <w:tabs>
          <w:tab w:pos="5040" w:val="num"/>
        </w:tabs>
        <w:ind w:hanging="360" w:left="5040"/>
      </w:pPr>
    </w:lvl>
    <w:lvl w:ilvl="7">
      <w:start w:val="1"/>
      <w:numFmt w:val="decimal"/>
      <w:lvlText w:val="%8."/>
      <w:lvlJc w:val="left"/>
      <w:pPr>
        <w:tabs>
          <w:tab w:pos="5760" w:val="num"/>
        </w:tabs>
        <w:ind w:hanging="360" w:left="5760"/>
      </w:pPr>
    </w:lvl>
    <w:lvl w:ilvl="8">
      <w:start w:val="1"/>
      <w:numFmt w:val="decimal"/>
      <w:lvlText w:val="%9."/>
      <w:lvlJc w:val="left"/>
      <w:pPr>
        <w:tabs>
          <w:tab w:pos="6480" w:val="num"/>
        </w:tabs>
        <w:ind w:hanging="360" w:left="6480"/>
      </w:pPr>
    </w:lvl>
  </w:abstractNum>
  <w:abstractNum w:abstractNumId="5">
    <w:lvl w:ilvl="0">
      <w:start w:val="1"/>
      <w:numFmt w:val="decimal"/>
      <w:lvlText w:val="%1."/>
      <w:lvlJc w:val="left"/>
      <w:pPr>
        <w:ind w:hanging="360" w:left="360"/>
      </w:pPr>
    </w:lvl>
    <w:lvl w:ilvl="1">
      <w:start w:val="1"/>
      <w:numFmt w:val="decimal"/>
      <w:lvlText w:val="%2."/>
      <w:lvlJc w:val="left"/>
      <w:pPr>
        <w:tabs>
          <w:tab w:pos="1440" w:val="num"/>
        </w:tabs>
        <w:ind w:hanging="360" w:left="1440"/>
      </w:pPr>
    </w:lvl>
    <w:lvl w:ilvl="2">
      <w:start w:val="21"/>
      <w:numFmt w:val="upperRoman"/>
      <w:lvlText w:val="%3."/>
      <w:lvlJc w:val="left"/>
      <w:pPr>
        <w:tabs>
          <w:tab w:pos="2700" w:val="num"/>
        </w:tabs>
        <w:ind w:hanging="720" w:left="2700"/>
      </w:pPr>
    </w:lvl>
    <w:lvl w:ilvl="3">
      <w:start w:val="1"/>
      <w:numFmt w:val="decimal"/>
      <w:lvlText w:val="%4."/>
      <w:lvlJc w:val="left"/>
      <w:pPr>
        <w:tabs>
          <w:tab w:pos="2880" w:val="num"/>
        </w:tabs>
        <w:ind w:hanging="360" w:left="2880"/>
      </w:pPr>
    </w:lvl>
    <w:lvl w:ilvl="4">
      <w:start w:val="1"/>
      <w:numFmt w:val="decimal"/>
      <w:lvlText w:val="%5."/>
      <w:lvlJc w:val="left"/>
      <w:pPr>
        <w:tabs>
          <w:tab w:pos="3600" w:val="num"/>
        </w:tabs>
        <w:ind w:hanging="360" w:left="3600"/>
      </w:pPr>
    </w:lvl>
    <w:lvl w:ilvl="5">
      <w:start w:val="1"/>
      <w:numFmt w:val="decimal"/>
      <w:lvlText w:val="%6."/>
      <w:lvlJc w:val="left"/>
      <w:pPr>
        <w:tabs>
          <w:tab w:pos="4320" w:val="num"/>
        </w:tabs>
        <w:ind w:hanging="360" w:left="4320"/>
      </w:pPr>
    </w:lvl>
    <w:lvl w:ilvl="6">
      <w:start w:val="1"/>
      <w:numFmt w:val="decimal"/>
      <w:lvlText w:val="%7."/>
      <w:lvlJc w:val="left"/>
      <w:pPr>
        <w:tabs>
          <w:tab w:pos="5040" w:val="num"/>
        </w:tabs>
        <w:ind w:hanging="360" w:left="5040"/>
      </w:pPr>
    </w:lvl>
    <w:lvl w:ilvl="7">
      <w:start w:val="1"/>
      <w:numFmt w:val="decimal"/>
      <w:lvlText w:val="%8."/>
      <w:lvlJc w:val="left"/>
      <w:pPr>
        <w:tabs>
          <w:tab w:pos="5760" w:val="num"/>
        </w:tabs>
        <w:ind w:hanging="360" w:left="5760"/>
      </w:pPr>
    </w:lvl>
    <w:lvl w:ilvl="8">
      <w:start w:val="1"/>
      <w:numFmt w:val="decimal"/>
      <w:lvlText w:val="%9."/>
      <w:lvlJc w:val="left"/>
      <w:pPr>
        <w:tabs>
          <w:tab w:pos="6480" w:val="num"/>
        </w:tabs>
        <w:ind w:hanging="360" w:left="6480"/>
      </w:pPr>
    </w:lvl>
  </w:abstractNum>
  <w:abstractNum w:abstractNumId="6">
    <w:lvl w:ilvl="0">
      <w:start w:val="1"/>
      <w:numFmt w:val="decimal"/>
      <w:lvlText w:val="%1."/>
      <w:lvlJc w:val="left"/>
      <w:pPr>
        <w:tabs>
          <w:tab w:pos="720" w:val="num"/>
        </w:tabs>
        <w:ind w:hanging="360" w:left="720"/>
      </w:pPr>
    </w:lvl>
    <w:lvl w:ilvl="1">
      <w:start w:val="1"/>
      <w:numFmt w:val="decimal"/>
      <w:lvlText w:val="%2."/>
      <w:lvlJc w:val="left"/>
      <w:pPr>
        <w:tabs>
          <w:tab w:pos="1440" w:val="num"/>
        </w:tabs>
        <w:ind w:hanging="360" w:left="1440"/>
      </w:pPr>
    </w:lvl>
    <w:lvl w:ilvl="2">
      <w:start w:val="1"/>
      <w:numFmt w:val="decimal"/>
      <w:lvlText w:val="%3."/>
      <w:lvlJc w:val="left"/>
      <w:pPr>
        <w:tabs>
          <w:tab w:pos="2160" w:val="num"/>
        </w:tabs>
        <w:ind w:hanging="360" w:left="2160"/>
      </w:pPr>
    </w:lvl>
    <w:lvl w:ilvl="3">
      <w:start w:val="1"/>
      <w:numFmt w:val="decimal"/>
      <w:lvlText w:val="%4."/>
      <w:lvlJc w:val="left"/>
      <w:pPr>
        <w:tabs>
          <w:tab w:pos="2880" w:val="num"/>
        </w:tabs>
        <w:ind w:hanging="360" w:left="2880"/>
      </w:pPr>
    </w:lvl>
    <w:lvl w:ilvl="4">
      <w:start w:val="1"/>
      <w:numFmt w:val="decimal"/>
      <w:lvlText w:val="%5."/>
      <w:lvlJc w:val="left"/>
      <w:pPr>
        <w:tabs>
          <w:tab w:pos="3600" w:val="num"/>
        </w:tabs>
        <w:ind w:hanging="360" w:left="3600"/>
      </w:pPr>
    </w:lvl>
    <w:lvl w:ilvl="5">
      <w:start w:val="1"/>
      <w:numFmt w:val="decimal"/>
      <w:lvlText w:val="%6."/>
      <w:lvlJc w:val="left"/>
      <w:pPr>
        <w:tabs>
          <w:tab w:pos="4320" w:val="num"/>
        </w:tabs>
        <w:ind w:hanging="360" w:left="4320"/>
      </w:pPr>
    </w:lvl>
    <w:lvl w:ilvl="6">
      <w:start w:val="1"/>
      <w:numFmt w:val="decimal"/>
      <w:lvlText w:val="%7."/>
      <w:lvlJc w:val="left"/>
      <w:pPr>
        <w:tabs>
          <w:tab w:pos="5040" w:val="num"/>
        </w:tabs>
        <w:ind w:hanging="360" w:left="5040"/>
      </w:pPr>
    </w:lvl>
    <w:lvl w:ilvl="7">
      <w:start w:val="1"/>
      <w:numFmt w:val="decimal"/>
      <w:lvlText w:val="%8."/>
      <w:lvlJc w:val="left"/>
      <w:pPr>
        <w:tabs>
          <w:tab w:pos="5760" w:val="num"/>
        </w:tabs>
        <w:ind w:hanging="360" w:left="5760"/>
      </w:pPr>
    </w:lvl>
    <w:lvl w:ilvl="8">
      <w:start w:val="1"/>
      <w:numFmt w:val="decimal"/>
      <w:lvlText w:val="%9."/>
      <w:lvlJc w:val="left"/>
      <w:pPr>
        <w:tabs>
          <w:tab w:pos="6480" w:val="num"/>
        </w:tabs>
        <w:ind w:hanging="360" w:left="6480"/>
      </w:pPr>
    </w:lvl>
  </w:abstractNum>
  <w:abstractNum w:abstractNumId="7">
    <w:lvl w:ilvl="0">
      <w:start w:val="1"/>
      <w:numFmt w:val="decimal"/>
      <w:lvlText w:val="%1)"/>
      <w:lvlJc w:val="left"/>
      <w:pPr>
        <w:tabs>
          <w:tab w:pos="660" w:val="num"/>
        </w:tabs>
        <w:ind w:hanging="360" w:left="660"/>
      </w:pPr>
    </w:lvl>
    <w:lvl w:ilvl="1">
      <w:start w:val="1"/>
      <w:numFmt w:val="lowerLetter"/>
      <w:lvlText w:val="%2."/>
      <w:lvlJc w:val="left"/>
      <w:pPr>
        <w:tabs>
          <w:tab w:pos="1440" w:val="num"/>
        </w:tabs>
        <w:ind w:hanging="360" w:left="1440"/>
      </w:pPr>
    </w:lvl>
    <w:lvl w:ilvl="2">
      <w:start w:val="1"/>
      <w:numFmt w:val="lowerRoman"/>
      <w:lvlText w:val="%3."/>
      <w:lvlJc w:val="right"/>
      <w:pPr>
        <w:tabs>
          <w:tab w:pos="2160" w:val="num"/>
        </w:tabs>
        <w:ind w:hanging="180" w:left="2160"/>
      </w:pPr>
    </w:lvl>
    <w:lvl w:ilvl="3">
      <w:start w:val="1"/>
      <w:numFmt w:val="decimal"/>
      <w:lvlText w:val="%4."/>
      <w:lvlJc w:val="left"/>
      <w:pPr>
        <w:tabs>
          <w:tab w:pos="2880" w:val="num"/>
        </w:tabs>
        <w:ind w:hanging="360" w:left="2880"/>
      </w:pPr>
    </w:lvl>
    <w:lvl w:ilvl="4">
      <w:start w:val="1"/>
      <w:numFmt w:val="lowerLetter"/>
      <w:lvlText w:val="%5."/>
      <w:lvlJc w:val="left"/>
      <w:pPr>
        <w:tabs>
          <w:tab w:pos="3600" w:val="num"/>
        </w:tabs>
        <w:ind w:hanging="360" w:left="3600"/>
      </w:pPr>
    </w:lvl>
    <w:lvl w:ilvl="5">
      <w:start w:val="1"/>
      <w:numFmt w:val="lowerRoman"/>
      <w:lvlText w:val="%6."/>
      <w:lvlJc w:val="right"/>
      <w:pPr>
        <w:tabs>
          <w:tab w:pos="4320" w:val="num"/>
        </w:tabs>
        <w:ind w:hanging="180" w:left="4320"/>
      </w:pPr>
    </w:lvl>
    <w:lvl w:ilvl="6">
      <w:start w:val="1"/>
      <w:numFmt w:val="decimal"/>
      <w:lvlText w:val="%7."/>
      <w:lvlJc w:val="left"/>
      <w:pPr>
        <w:tabs>
          <w:tab w:pos="5040" w:val="num"/>
        </w:tabs>
        <w:ind w:hanging="360" w:left="5040"/>
      </w:pPr>
    </w:lvl>
    <w:lvl w:ilvl="7">
      <w:start w:val="1"/>
      <w:numFmt w:val="lowerLetter"/>
      <w:lvlText w:val="%8."/>
      <w:lvlJc w:val="left"/>
      <w:pPr>
        <w:tabs>
          <w:tab w:pos="5760" w:val="num"/>
        </w:tabs>
        <w:ind w:hanging="360" w:left="5760"/>
      </w:pPr>
    </w:lvl>
    <w:lvl w:ilvl="8">
      <w:start w:val="1"/>
      <w:numFmt w:val="lowerRoman"/>
      <w:lvlText w:val="%9."/>
      <w:lvlJc w:val="right"/>
      <w:pPr>
        <w:tabs>
          <w:tab w:pos="6480" w:val="num"/>
        </w:tabs>
        <w:ind w:hanging="180" w:left="6480"/>
      </w:pPr>
    </w:lvl>
  </w:abstractNum>
  <w:abstractNum w:abstractNumId="8">
    <w:lvl w:ilvl="0">
      <w:start w:val="1"/>
      <w:numFmt w:val="bullet"/>
      <w:lvlText w:val="-"/>
      <w:lvlJc w:val="left"/>
      <w:pPr>
        <w:tabs>
          <w:tab w:pos="720" w:val="num"/>
        </w:tabs>
        <w:ind w:hanging="360" w:left="720"/>
      </w:pPr>
      <w:rPr>
        <w:rFonts w:ascii="Times New Roman" w:cs="Times New Roman" w:hAnsi="Times New Roman" w:hint="default"/>
      </w:rPr>
    </w:lvl>
    <w:lvl w:ilvl="1">
      <w:start w:val="1"/>
      <w:numFmt w:val="bullet"/>
      <w:lvlText w:val="o"/>
      <w:lvlJc w:val="left"/>
      <w:pPr>
        <w:tabs>
          <w:tab w:pos="1440" w:val="num"/>
        </w:tabs>
        <w:ind w:hanging="360" w:left="1440"/>
      </w:pPr>
      <w:rPr>
        <w:rFonts w:ascii="Courier New" w:cs="Courier New" w:hAnsi="Courier New" w:hint="default"/>
      </w:rPr>
    </w:lvl>
    <w:lvl w:ilvl="2">
      <w:start w:val="1"/>
      <w:numFmt w:val="bullet"/>
      <w:lvlText w:val=""/>
      <w:lvlJc w:val="left"/>
      <w:pPr>
        <w:tabs>
          <w:tab w:pos="2160" w:val="num"/>
        </w:tabs>
        <w:ind w:hanging="360" w:left="2160"/>
      </w:pPr>
      <w:rPr>
        <w:rFonts w:ascii="Wingdings" w:cs="Wingdings" w:hAnsi="Wingdings" w:hint="default"/>
      </w:rPr>
    </w:lvl>
    <w:lvl w:ilvl="3">
      <w:start w:val="1"/>
      <w:numFmt w:val="bullet"/>
      <w:lvlText w:val=""/>
      <w:lvlJc w:val="left"/>
      <w:pPr>
        <w:tabs>
          <w:tab w:pos="2880" w:val="num"/>
        </w:tabs>
        <w:ind w:hanging="360" w:left="2880"/>
      </w:pPr>
      <w:rPr>
        <w:rFonts w:ascii="Symbol" w:cs="Symbol" w:hAnsi="Symbol" w:hint="default"/>
      </w:rPr>
    </w:lvl>
    <w:lvl w:ilvl="4">
      <w:start w:val="1"/>
      <w:numFmt w:val="bullet"/>
      <w:lvlText w:val="o"/>
      <w:lvlJc w:val="left"/>
      <w:pPr>
        <w:tabs>
          <w:tab w:pos="3600" w:val="num"/>
        </w:tabs>
        <w:ind w:hanging="360" w:left="3600"/>
      </w:pPr>
      <w:rPr>
        <w:rFonts w:ascii="Courier New" w:cs="Courier New" w:hAnsi="Courier New" w:hint="default"/>
      </w:rPr>
    </w:lvl>
    <w:lvl w:ilvl="5">
      <w:start w:val="1"/>
      <w:numFmt w:val="bullet"/>
      <w:lvlText w:val=""/>
      <w:lvlJc w:val="left"/>
      <w:pPr>
        <w:tabs>
          <w:tab w:pos="4320" w:val="num"/>
        </w:tabs>
        <w:ind w:hanging="360" w:left="4320"/>
      </w:pPr>
      <w:rPr>
        <w:rFonts w:ascii="Wingdings" w:cs="Wingdings" w:hAnsi="Wingdings" w:hint="default"/>
      </w:rPr>
    </w:lvl>
    <w:lvl w:ilvl="6">
      <w:start w:val="1"/>
      <w:numFmt w:val="bullet"/>
      <w:lvlText w:val=""/>
      <w:lvlJc w:val="left"/>
      <w:pPr>
        <w:tabs>
          <w:tab w:pos="5040" w:val="num"/>
        </w:tabs>
        <w:ind w:hanging="360" w:left="5040"/>
      </w:pPr>
      <w:rPr>
        <w:rFonts w:ascii="Symbol" w:cs="Symbol" w:hAnsi="Symbol" w:hint="default"/>
      </w:rPr>
    </w:lvl>
    <w:lvl w:ilvl="7">
      <w:start w:val="1"/>
      <w:numFmt w:val="bullet"/>
      <w:lvlText w:val="o"/>
      <w:lvlJc w:val="left"/>
      <w:pPr>
        <w:tabs>
          <w:tab w:pos="5760" w:val="num"/>
        </w:tabs>
        <w:ind w:hanging="360" w:left="5760"/>
      </w:pPr>
      <w:rPr>
        <w:rFonts w:ascii="Courier New" w:cs="Courier New" w:hAnsi="Courier New" w:hint="default"/>
      </w:rPr>
    </w:lvl>
    <w:lvl w:ilvl="8">
      <w:start w:val="1"/>
      <w:numFmt w:val="bullet"/>
      <w:lvlText w:val=""/>
      <w:lvlJc w:val="left"/>
      <w:pPr>
        <w:tabs>
          <w:tab w:pos="6480" w:val="num"/>
        </w:tabs>
        <w:ind w:hanging="360" w:left="6480"/>
      </w:pPr>
      <w:rPr>
        <w:rFonts w:ascii="Wingdings" w:cs="Wingdings" w:hAnsi="Wingdings" w:hint="default"/>
      </w:rPr>
    </w:lvl>
  </w:abstractNum>
  <w:abstractNum w:abstractNumId="9">
    <w:lvl w:ilvl="0">
      <w:start w:val="1"/>
      <w:numFmt w:val="decimal"/>
      <w:lvlText w:val="%1."/>
      <w:lvlJc w:val="left"/>
      <w:pPr>
        <w:tabs>
          <w:tab w:pos="360" w:val="num"/>
        </w:tabs>
        <w:ind w:hanging="360" w:left="360"/>
      </w:pPr>
      <w:rPr>
        <w:color w:val="000000"/>
      </w:rPr>
    </w:lvl>
    <w:lvl w:ilvl="1">
      <w:start w:val="1"/>
      <w:numFmt w:val="decimal"/>
      <w:lvlText w:val="%2."/>
      <w:lvlJc w:val="left"/>
      <w:pPr>
        <w:tabs>
          <w:tab w:pos="1080" w:val="num"/>
        </w:tabs>
        <w:ind w:hanging="360" w:left="1080"/>
      </w:pPr>
    </w:lvl>
    <w:lvl w:ilvl="2">
      <w:start w:val="1"/>
      <w:numFmt w:val="decimal"/>
      <w:lvlText w:val="%3."/>
      <w:lvlJc w:val="left"/>
      <w:pPr>
        <w:tabs>
          <w:tab w:pos="1800" w:val="num"/>
        </w:tabs>
        <w:ind w:hanging="360" w:left="1800"/>
      </w:pPr>
    </w:lvl>
    <w:lvl w:ilvl="3">
      <w:start w:val="1"/>
      <w:numFmt w:val="decimal"/>
      <w:lvlText w:val="%4."/>
      <w:lvlJc w:val="left"/>
      <w:pPr>
        <w:tabs>
          <w:tab w:pos="2520" w:val="num"/>
        </w:tabs>
        <w:ind w:hanging="360" w:left="2520"/>
      </w:pPr>
    </w:lvl>
    <w:lvl w:ilvl="4">
      <w:start w:val="1"/>
      <w:numFmt w:val="decimal"/>
      <w:lvlText w:val="%5."/>
      <w:lvlJc w:val="left"/>
      <w:pPr>
        <w:tabs>
          <w:tab w:pos="3240" w:val="num"/>
        </w:tabs>
        <w:ind w:hanging="360" w:left="3240"/>
      </w:pPr>
    </w:lvl>
    <w:lvl w:ilvl="5">
      <w:start w:val="1"/>
      <w:numFmt w:val="decimal"/>
      <w:lvlText w:val="%6."/>
      <w:lvlJc w:val="left"/>
      <w:pPr>
        <w:tabs>
          <w:tab w:pos="3960" w:val="num"/>
        </w:tabs>
        <w:ind w:hanging="360" w:left="3960"/>
      </w:pPr>
    </w:lvl>
    <w:lvl w:ilvl="6">
      <w:start w:val="1"/>
      <w:numFmt w:val="decimal"/>
      <w:lvlText w:val="%7."/>
      <w:lvlJc w:val="left"/>
      <w:pPr>
        <w:tabs>
          <w:tab w:pos="4680" w:val="num"/>
        </w:tabs>
        <w:ind w:hanging="360" w:left="4680"/>
      </w:pPr>
    </w:lvl>
    <w:lvl w:ilvl="7">
      <w:start w:val="1"/>
      <w:numFmt w:val="decimal"/>
      <w:lvlText w:val="%8."/>
      <w:lvlJc w:val="left"/>
      <w:pPr>
        <w:tabs>
          <w:tab w:pos="5400" w:val="num"/>
        </w:tabs>
        <w:ind w:hanging="360" w:left="5400"/>
      </w:pPr>
    </w:lvl>
    <w:lvl w:ilvl="8">
      <w:start w:val="1"/>
      <w:numFmt w:val="decimal"/>
      <w:lvlText w:val="%9."/>
      <w:lvlJc w:val="left"/>
      <w:pPr>
        <w:tabs>
          <w:tab w:pos="6120" w:val="num"/>
        </w:tabs>
        <w:ind w:hanging="360" w:left="6120"/>
      </w:pPr>
    </w:lvl>
  </w:abstractNum>
  <w:abstractNum w:abstractNumId="10">
    <w:lvl w:ilvl="0">
      <w:start w:val="1"/>
      <w:numFmt w:val="decimal"/>
      <w:lvlText w:val="%1."/>
      <w:lvlJc w:val="left"/>
      <w:pPr>
        <w:tabs>
          <w:tab w:pos="360" w:val="num"/>
        </w:tabs>
        <w:ind w:hanging="360" w:left="360"/>
      </w:pPr>
    </w:lvl>
    <w:lvl w:ilvl="1">
      <w:start w:val="1"/>
      <w:numFmt w:val="decimal"/>
      <w:lvlText w:val="%2)"/>
      <w:lvlJc w:val="left"/>
      <w:pPr>
        <w:tabs>
          <w:tab w:pos="720" w:val="num"/>
        </w:tabs>
        <w:ind w:hanging="360" w:left="720"/>
      </w:pPr>
    </w:lvl>
    <w:lvl w:ilvl="2">
      <w:start w:val="1"/>
      <w:numFmt w:val="lowerRoman"/>
      <w:lvlText w:val="%3."/>
      <w:lvlJc w:val="right"/>
      <w:pPr>
        <w:tabs>
          <w:tab w:pos="1440" w:val="num"/>
        </w:tabs>
        <w:ind w:hanging="180" w:left="1440"/>
      </w:pPr>
    </w:lvl>
    <w:lvl w:ilvl="3">
      <w:start w:val="1"/>
      <w:numFmt w:val="decimal"/>
      <w:lvlText w:val="%4."/>
      <w:lvlJc w:val="left"/>
      <w:pPr>
        <w:tabs>
          <w:tab w:pos="2160" w:val="num"/>
        </w:tabs>
        <w:ind w:hanging="360" w:left="2160"/>
      </w:pPr>
    </w:lvl>
    <w:lvl w:ilvl="4">
      <w:start w:val="1"/>
      <w:numFmt w:val="lowerLetter"/>
      <w:lvlText w:val="%5."/>
      <w:lvlJc w:val="left"/>
      <w:pPr>
        <w:tabs>
          <w:tab w:pos="2880" w:val="num"/>
        </w:tabs>
        <w:ind w:hanging="360" w:left="2880"/>
      </w:pPr>
    </w:lvl>
    <w:lvl w:ilvl="5">
      <w:start w:val="1"/>
      <w:numFmt w:val="lowerRoman"/>
      <w:lvlText w:val="%6."/>
      <w:lvlJc w:val="right"/>
      <w:pPr>
        <w:tabs>
          <w:tab w:pos="3600" w:val="num"/>
        </w:tabs>
        <w:ind w:hanging="180" w:left="3600"/>
      </w:pPr>
    </w:lvl>
    <w:lvl w:ilvl="6">
      <w:start w:val="1"/>
      <w:numFmt w:val="decimal"/>
      <w:lvlText w:val="%7."/>
      <w:lvlJc w:val="left"/>
      <w:pPr>
        <w:tabs>
          <w:tab w:pos="4320" w:val="num"/>
        </w:tabs>
        <w:ind w:hanging="360" w:left="4320"/>
      </w:pPr>
    </w:lvl>
    <w:lvl w:ilvl="7">
      <w:start w:val="1"/>
      <w:numFmt w:val="lowerLetter"/>
      <w:lvlText w:val="%8."/>
      <w:lvlJc w:val="left"/>
      <w:pPr>
        <w:tabs>
          <w:tab w:pos="5040" w:val="num"/>
        </w:tabs>
        <w:ind w:hanging="360" w:left="5040"/>
      </w:pPr>
    </w:lvl>
    <w:lvl w:ilvl="8">
      <w:start w:val="1"/>
      <w:numFmt w:val="lowerRoman"/>
      <w:lvlText w:val="%9."/>
      <w:lvlJc w:val="right"/>
      <w:pPr>
        <w:tabs>
          <w:tab w:pos="5760" w:val="num"/>
        </w:tabs>
        <w:ind w:hanging="180" w:left="5760"/>
      </w:pPr>
    </w:lvl>
  </w:abstractNum>
  <w:abstractNum w:abstractNumId="11">
    <w:lvl w:ilvl="0">
      <w:start w:val="1"/>
      <w:numFmt w:val="decimal"/>
      <w:lvlText w:val="%1."/>
      <w:lvlJc w:val="left"/>
      <w:pPr>
        <w:ind w:hanging="360" w:left="720"/>
      </w:pPr>
    </w:lvl>
    <w:lvl w:ilvl="1">
      <w:start w:val="1"/>
      <w:numFmt w:val="decimal"/>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12">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13">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14">
    <w:lvl w:ilvl="0">
      <w:start w:val="1"/>
      <w:numFmt w:val="decimal"/>
      <w:lvlText w:val="%1."/>
      <w:lvlJc w:val="left"/>
      <w:pPr>
        <w:tabs>
          <w:tab w:pos="720" w:val="num"/>
        </w:tabs>
        <w:ind w:hanging="360" w:left="720"/>
      </w:pPr>
    </w:lvl>
    <w:lvl w:ilvl="1">
      <w:start w:val="1"/>
      <w:numFmt w:val="decimal"/>
      <w:lvlText w:val="%2)"/>
      <w:lvlJc w:val="left"/>
      <w:pPr>
        <w:tabs>
          <w:tab w:pos="1440" w:val="num"/>
        </w:tabs>
        <w:ind w:hanging="360" w:left="1440"/>
      </w:pPr>
      <w:rPr>
        <w:b/>
      </w:rPr>
    </w:lvl>
    <w:lvl w:ilvl="2">
      <w:start w:val="1"/>
      <w:numFmt w:val="bullet"/>
      <w:lvlText w:val=""/>
      <w:lvlJc w:val="left"/>
      <w:pPr>
        <w:tabs>
          <w:tab w:pos="2340" w:val="num"/>
        </w:tabs>
        <w:ind w:hanging="360" w:left="2340"/>
      </w:pPr>
      <w:rPr>
        <w:rFonts w:ascii="Symbol" w:cs="Symbol" w:hAnsi="Symbol" w:hint="default"/>
      </w:rPr>
    </w:lvl>
    <w:lvl w:ilvl="3">
      <w:start w:val="1"/>
      <w:numFmt w:val="decimal"/>
      <w:lvlText w:val="%4)"/>
      <w:lvlJc w:val="left"/>
      <w:pPr>
        <w:tabs>
          <w:tab w:pos="2880" w:val="num"/>
        </w:tabs>
        <w:ind w:hanging="360" w:left="2880"/>
      </w:pPr>
      <w:rPr>
        <w:b/>
      </w:rPr>
    </w:lvl>
    <w:lvl w:ilvl="4">
      <w:start w:val="1"/>
      <w:numFmt w:val="decimal"/>
      <w:lvlText w:val="%5."/>
      <w:lvlJc w:val="left"/>
      <w:pPr>
        <w:tabs>
          <w:tab w:pos="3600" w:val="num"/>
        </w:tabs>
        <w:ind w:hanging="360" w:left="3600"/>
      </w:pPr>
    </w:lvl>
    <w:lvl w:ilvl="5">
      <w:start w:val="1"/>
      <w:numFmt w:val="decimal"/>
      <w:lvlText w:val="%6."/>
      <w:lvlJc w:val="left"/>
      <w:pPr>
        <w:tabs>
          <w:tab w:pos="4500" w:val="num"/>
        </w:tabs>
        <w:ind w:hanging="360" w:left="4500"/>
      </w:pPr>
    </w:lvl>
    <w:lvl w:ilvl="6">
      <w:start w:val="1"/>
      <w:numFmt w:val="decimal"/>
      <w:lvlText w:val="%7."/>
      <w:lvlJc w:val="left"/>
      <w:pPr>
        <w:tabs>
          <w:tab w:pos="5040" w:val="num"/>
        </w:tabs>
        <w:ind w:hanging="360" w:left="5040"/>
      </w:pPr>
    </w:lvl>
    <w:lvl w:ilvl="7">
      <w:start w:val="1"/>
      <w:numFmt w:val="decimal"/>
      <w:lvlText w:val="%8."/>
      <w:lvlJc w:val="left"/>
      <w:pPr>
        <w:tabs>
          <w:tab w:pos="5760" w:val="num"/>
        </w:tabs>
        <w:ind w:hanging="360" w:left="5760"/>
      </w:pPr>
    </w:lvl>
    <w:lvl w:ilvl="8">
      <w:start w:val="1"/>
      <w:numFmt w:val="decimal"/>
      <w:lvlText w:val="%9."/>
      <w:lvlJc w:val="left"/>
      <w:pPr>
        <w:tabs>
          <w:tab w:pos="6480" w:val="num"/>
        </w:tabs>
        <w:ind w:hanging="360" w:left="6480"/>
      </w:pPr>
    </w:lvl>
  </w:abstractNum>
  <w:abstractNum w:abstractNumId="15">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16">
    <w:lvl w:ilvl="0">
      <w:start w:val="1"/>
      <w:numFmt w:val="decimal"/>
      <w:lvlText w:val="%1."/>
      <w:lvlJc w:val="left"/>
      <w:pPr>
        <w:tabs>
          <w:tab w:pos="720" w:val="num"/>
        </w:tabs>
        <w:ind w:hanging="360" w:left="720"/>
      </w:pPr>
    </w:lvl>
    <w:lvl w:ilvl="1">
      <w:start w:val="1"/>
      <w:numFmt w:val="decimal"/>
      <w:lvlText w:val="%2."/>
      <w:lvlJc w:val="left"/>
      <w:pPr>
        <w:tabs>
          <w:tab w:pos="1800" w:val="num"/>
        </w:tabs>
        <w:ind w:hanging="360" w:left="1800"/>
      </w:pPr>
    </w:lvl>
    <w:lvl w:ilvl="2">
      <w:start w:val="1"/>
      <w:numFmt w:val="decimal"/>
      <w:lvlText w:val="%3."/>
      <w:lvlJc w:val="left"/>
      <w:pPr>
        <w:tabs>
          <w:tab w:pos="2520" w:val="num"/>
        </w:tabs>
        <w:ind w:hanging="360" w:left="2520"/>
      </w:pPr>
    </w:lvl>
    <w:lvl w:ilvl="3">
      <w:start w:val="1"/>
      <w:numFmt w:val="decimal"/>
      <w:lvlText w:val="%4."/>
      <w:lvlJc w:val="left"/>
      <w:pPr>
        <w:tabs>
          <w:tab w:pos="3240" w:val="num"/>
        </w:tabs>
        <w:ind w:hanging="360" w:left="3240"/>
      </w:pPr>
    </w:lvl>
    <w:lvl w:ilvl="4">
      <w:start w:val="1"/>
      <w:numFmt w:val="decimal"/>
      <w:lvlText w:val="%5."/>
      <w:lvlJc w:val="left"/>
      <w:pPr>
        <w:tabs>
          <w:tab w:pos="3960" w:val="num"/>
        </w:tabs>
        <w:ind w:hanging="360" w:left="3960"/>
      </w:pPr>
    </w:lvl>
    <w:lvl w:ilvl="5">
      <w:start w:val="1"/>
      <w:numFmt w:val="decimal"/>
      <w:lvlText w:val="%6."/>
      <w:lvlJc w:val="left"/>
      <w:pPr>
        <w:tabs>
          <w:tab w:pos="4680" w:val="num"/>
        </w:tabs>
        <w:ind w:hanging="360" w:left="4680"/>
      </w:pPr>
    </w:lvl>
    <w:lvl w:ilvl="6">
      <w:start w:val="1"/>
      <w:numFmt w:val="decimal"/>
      <w:lvlText w:val="%7."/>
      <w:lvlJc w:val="left"/>
      <w:pPr>
        <w:tabs>
          <w:tab w:pos="5400" w:val="num"/>
        </w:tabs>
        <w:ind w:hanging="360" w:left="5400"/>
      </w:pPr>
    </w:lvl>
    <w:lvl w:ilvl="7">
      <w:start w:val="1"/>
      <w:numFmt w:val="decimal"/>
      <w:lvlText w:val="%8."/>
      <w:lvlJc w:val="left"/>
      <w:pPr>
        <w:tabs>
          <w:tab w:pos="6120" w:val="num"/>
        </w:tabs>
        <w:ind w:hanging="360" w:left="6120"/>
      </w:pPr>
    </w:lvl>
    <w:lvl w:ilvl="8">
      <w:start w:val="1"/>
      <w:numFmt w:val="decimal"/>
      <w:lvlText w:val="%9."/>
      <w:lvlJc w:val="left"/>
      <w:pPr>
        <w:tabs>
          <w:tab w:pos="6840" w:val="num"/>
        </w:tabs>
        <w:ind w:hanging="360" w:left="6840"/>
      </w:pPr>
    </w:lvl>
  </w:abstractNum>
  <w:abstractNum w:abstractNumId="17">
    <w:lvl w:ilvl="0">
      <w:start w:val="1"/>
      <w:numFmt w:val="decimal"/>
      <w:lvlText w:val="%1."/>
      <w:lvlJc w:val="left"/>
      <w:pPr>
        <w:ind w:hanging="360" w:left="720"/>
      </w:pPr>
    </w:lvl>
    <w:lvl w:ilvl="1">
      <w:start w:val="1"/>
      <w:numFmt w:val="decimal"/>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18">
    <w:lvl w:ilvl="0">
      <w:start w:val="1"/>
      <w:numFmt w:val="decimal"/>
      <w:lvlText w:val="%1."/>
      <w:lvlJc w:val="left"/>
      <w:pPr>
        <w:ind w:hanging="360" w:left="360"/>
      </w:pPr>
    </w:lvl>
    <w:lvl w:ilvl="1">
      <w:start w:val="1"/>
      <w:numFmt w:val="lowerLetter"/>
      <w:lvlText w:val="%2."/>
      <w:lvlJc w:val="left"/>
      <w:pPr>
        <w:ind w:hanging="360" w:left="1080"/>
      </w:pPr>
    </w:lvl>
    <w:lvl w:ilvl="2">
      <w:start w:val="1"/>
      <w:numFmt w:val="lowerRoman"/>
      <w:lvlText w:val="%3."/>
      <w:lvlJc w:val="right"/>
      <w:pPr>
        <w:ind w:hanging="180" w:left="1800"/>
      </w:pPr>
    </w:lvl>
    <w:lvl w:ilvl="3">
      <w:start w:val="1"/>
      <w:numFmt w:val="decimal"/>
      <w:lvlText w:val="%4."/>
      <w:lvlJc w:val="left"/>
      <w:pPr>
        <w:ind w:hanging="360" w:left="2520"/>
      </w:pPr>
    </w:lvl>
    <w:lvl w:ilvl="4">
      <w:start w:val="1"/>
      <w:numFmt w:val="lowerLetter"/>
      <w:lvlText w:val="%5."/>
      <w:lvlJc w:val="left"/>
      <w:pPr>
        <w:ind w:hanging="360" w:left="3240"/>
      </w:pPr>
    </w:lvl>
    <w:lvl w:ilvl="5">
      <w:start w:val="1"/>
      <w:numFmt w:val="lowerRoman"/>
      <w:lvlText w:val="%6."/>
      <w:lvlJc w:val="right"/>
      <w:pPr>
        <w:ind w:hanging="180" w:left="3960"/>
      </w:pPr>
    </w:lvl>
    <w:lvl w:ilvl="6">
      <w:start w:val="1"/>
      <w:numFmt w:val="decimal"/>
      <w:lvlText w:val="%7."/>
      <w:lvlJc w:val="left"/>
      <w:pPr>
        <w:ind w:hanging="360" w:left="4680"/>
      </w:pPr>
    </w:lvl>
    <w:lvl w:ilvl="7">
      <w:start w:val="1"/>
      <w:numFmt w:val="lowerLetter"/>
      <w:lvlText w:val="%8."/>
      <w:lvlJc w:val="left"/>
      <w:pPr>
        <w:ind w:hanging="360" w:left="5400"/>
      </w:pPr>
    </w:lvl>
    <w:lvl w:ilvl="8">
      <w:start w:val="1"/>
      <w:numFmt w:val="lowerRoman"/>
      <w:lvlText w:val="%9."/>
      <w:lvlJc w:val="right"/>
      <w:pPr>
        <w:ind w:hanging="180" w:left="6120"/>
      </w:pPr>
    </w:lvl>
  </w:abstractNum>
  <w:abstractNum w:abstractNumId="19">
    <w:lvl w:ilvl="0">
      <w:start w:val="1"/>
      <w:numFmt w:val="decimal"/>
      <w:lvlText w:val="%1."/>
      <w:lvlJc w:val="left"/>
      <w:pPr>
        <w:ind w:hanging="360" w:left="360"/>
      </w:pPr>
    </w:lvl>
    <w:lvl w:ilvl="1">
      <w:start w:val="1"/>
      <w:numFmt w:val="lowerLetter"/>
      <w:lvlText w:val="%2."/>
      <w:lvlJc w:val="left"/>
      <w:pPr>
        <w:ind w:hanging="360" w:left="1080"/>
      </w:pPr>
    </w:lvl>
    <w:lvl w:ilvl="2">
      <w:start w:val="1"/>
      <w:numFmt w:val="lowerRoman"/>
      <w:lvlText w:val="%3."/>
      <w:lvlJc w:val="right"/>
      <w:pPr>
        <w:ind w:hanging="180" w:left="1800"/>
      </w:pPr>
    </w:lvl>
    <w:lvl w:ilvl="3">
      <w:start w:val="1"/>
      <w:numFmt w:val="decimal"/>
      <w:lvlText w:val="%4."/>
      <w:lvlJc w:val="left"/>
      <w:pPr>
        <w:ind w:hanging="360" w:left="2520"/>
      </w:pPr>
    </w:lvl>
    <w:lvl w:ilvl="4">
      <w:start w:val="1"/>
      <w:numFmt w:val="lowerLetter"/>
      <w:lvlText w:val="%5."/>
      <w:lvlJc w:val="left"/>
      <w:pPr>
        <w:ind w:hanging="360" w:left="3240"/>
      </w:pPr>
    </w:lvl>
    <w:lvl w:ilvl="5">
      <w:start w:val="1"/>
      <w:numFmt w:val="lowerRoman"/>
      <w:lvlText w:val="%6."/>
      <w:lvlJc w:val="right"/>
      <w:pPr>
        <w:ind w:hanging="180" w:left="3960"/>
      </w:pPr>
    </w:lvl>
    <w:lvl w:ilvl="6">
      <w:start w:val="1"/>
      <w:numFmt w:val="decimal"/>
      <w:lvlText w:val="%7."/>
      <w:lvlJc w:val="left"/>
      <w:pPr>
        <w:ind w:hanging="360" w:left="4680"/>
      </w:pPr>
    </w:lvl>
    <w:lvl w:ilvl="7">
      <w:start w:val="1"/>
      <w:numFmt w:val="lowerLetter"/>
      <w:lvlText w:val="%8."/>
      <w:lvlJc w:val="left"/>
      <w:pPr>
        <w:ind w:hanging="360" w:left="5400"/>
      </w:pPr>
    </w:lvl>
    <w:lvl w:ilvl="8">
      <w:start w:val="1"/>
      <w:numFmt w:val="lowerRoman"/>
      <w:lvlText w:val="%9."/>
      <w:lvlJc w:val="right"/>
      <w:pPr>
        <w:ind w:hanging="180" w:left="6120"/>
      </w:pPr>
    </w:lvl>
  </w:abstractNum>
  <w:abstractNum w:abstractNumId="20">
    <w:lvl w:ilvl="0">
      <w:start w:val="1"/>
      <w:numFmt w:val="decimal"/>
      <w:lvlText w:val="%1."/>
      <w:lvlJc w:val="left"/>
      <w:pPr>
        <w:ind w:hanging="360" w:left="360"/>
      </w:pPr>
    </w:lvl>
    <w:lvl w:ilvl="1">
      <w:start w:val="1"/>
      <w:numFmt w:val="lowerLetter"/>
      <w:lvlText w:val="%2."/>
      <w:lvlJc w:val="left"/>
      <w:pPr>
        <w:ind w:hanging="360" w:left="1080"/>
      </w:pPr>
    </w:lvl>
    <w:lvl w:ilvl="2">
      <w:start w:val="1"/>
      <w:numFmt w:val="lowerRoman"/>
      <w:lvlText w:val="%3."/>
      <w:lvlJc w:val="right"/>
      <w:pPr>
        <w:ind w:hanging="180" w:left="1800"/>
      </w:pPr>
    </w:lvl>
    <w:lvl w:ilvl="3">
      <w:start w:val="1"/>
      <w:numFmt w:val="decimal"/>
      <w:lvlText w:val="%4."/>
      <w:lvlJc w:val="left"/>
      <w:pPr>
        <w:ind w:hanging="360" w:left="2520"/>
      </w:pPr>
    </w:lvl>
    <w:lvl w:ilvl="4">
      <w:start w:val="1"/>
      <w:numFmt w:val="lowerLetter"/>
      <w:lvlText w:val="%5."/>
      <w:lvlJc w:val="left"/>
      <w:pPr>
        <w:ind w:hanging="360" w:left="3240"/>
      </w:pPr>
    </w:lvl>
    <w:lvl w:ilvl="5">
      <w:start w:val="1"/>
      <w:numFmt w:val="lowerRoman"/>
      <w:lvlText w:val="%6."/>
      <w:lvlJc w:val="right"/>
      <w:pPr>
        <w:ind w:hanging="180" w:left="3960"/>
      </w:pPr>
    </w:lvl>
    <w:lvl w:ilvl="6">
      <w:start w:val="1"/>
      <w:numFmt w:val="decimal"/>
      <w:lvlText w:val="%7."/>
      <w:lvlJc w:val="left"/>
      <w:pPr>
        <w:ind w:hanging="360" w:left="4680"/>
      </w:pPr>
    </w:lvl>
    <w:lvl w:ilvl="7">
      <w:start w:val="1"/>
      <w:numFmt w:val="lowerLetter"/>
      <w:lvlText w:val="%8."/>
      <w:lvlJc w:val="left"/>
      <w:pPr>
        <w:ind w:hanging="360" w:left="5400"/>
      </w:pPr>
    </w:lvl>
    <w:lvl w:ilvl="8">
      <w:start w:val="1"/>
      <w:numFmt w:val="lowerRoman"/>
      <w:lvlText w:val="%9."/>
      <w:lvlJc w:val="right"/>
      <w:pPr>
        <w:ind w:hanging="180" w:left="6120"/>
      </w:pPr>
    </w:lvl>
  </w:abstractNum>
  <w:abstractNum w:abstractNumId="21">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22">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23">
    <w:lvl w:ilvl="0">
      <w:start w:val="1"/>
      <w:numFmt w:val="lowerLetter"/>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24">
    <w:lvl w:ilvl="0">
      <w:start w:val="1"/>
      <w:numFmt w:val="lowerLetter"/>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25">
    <w:lvl w:ilvl="0">
      <w:start w:val="1"/>
      <w:numFmt w:val="decimal"/>
      <w:lvlText w:val="%1."/>
      <w:lvlJc w:val="left"/>
      <w:pPr>
        <w:tabs>
          <w:tab w:pos="360" w:val="num"/>
        </w:tabs>
        <w:ind w:hanging="360" w:left="360"/>
      </w:pPr>
    </w:lvl>
    <w:lvl w:ilvl="1">
      <w:start w:val="1"/>
      <w:numFmt w:val="decimal"/>
      <w:lvlText w:val="%2)"/>
      <w:lvlJc w:val="left"/>
      <w:pPr>
        <w:tabs>
          <w:tab w:pos="1080" w:val="num"/>
        </w:tabs>
        <w:ind w:hanging="360" w:left="1080"/>
      </w:pPr>
      <w:rPr>
        <w:b/>
      </w:rPr>
    </w:lvl>
    <w:lvl w:ilvl="2">
      <w:start w:val="1"/>
      <w:numFmt w:val="bullet"/>
      <w:lvlText w:val=""/>
      <w:lvlJc w:val="left"/>
      <w:pPr>
        <w:tabs>
          <w:tab w:pos="1980" w:val="num"/>
        </w:tabs>
        <w:ind w:hanging="360" w:left="1980"/>
      </w:pPr>
      <w:rPr>
        <w:rFonts w:ascii="Symbol" w:cs="Symbol" w:hAnsi="Symbol" w:hint="default"/>
      </w:rPr>
    </w:lvl>
    <w:lvl w:ilvl="3">
      <w:start w:val="1"/>
      <w:numFmt w:val="decimal"/>
      <w:lvlText w:val="%4)"/>
      <w:lvlJc w:val="left"/>
      <w:pPr>
        <w:tabs>
          <w:tab w:pos="2520" w:val="num"/>
        </w:tabs>
        <w:ind w:hanging="360" w:left="2520"/>
      </w:pPr>
      <w:rPr>
        <w:b/>
      </w:rPr>
    </w:lvl>
    <w:lvl w:ilvl="4">
      <w:start w:val="1"/>
      <w:numFmt w:val="decimal"/>
      <w:lvlText w:val="%5."/>
      <w:lvlJc w:val="left"/>
      <w:pPr>
        <w:tabs>
          <w:tab w:pos="3240" w:val="num"/>
        </w:tabs>
        <w:ind w:hanging="360" w:left="3240"/>
      </w:pPr>
    </w:lvl>
    <w:lvl w:ilvl="5">
      <w:start w:val="1"/>
      <w:numFmt w:val="decimal"/>
      <w:lvlText w:val="%6."/>
      <w:lvlJc w:val="left"/>
      <w:pPr>
        <w:tabs>
          <w:tab w:pos="4140" w:val="num"/>
        </w:tabs>
        <w:ind w:hanging="360" w:left="4140"/>
      </w:pPr>
    </w:lvl>
    <w:lvl w:ilvl="6">
      <w:start w:val="1"/>
      <w:numFmt w:val="decimal"/>
      <w:lvlText w:val="%7."/>
      <w:lvlJc w:val="left"/>
      <w:pPr>
        <w:tabs>
          <w:tab w:pos="4680" w:val="num"/>
        </w:tabs>
        <w:ind w:hanging="360" w:left="4680"/>
      </w:pPr>
    </w:lvl>
    <w:lvl w:ilvl="7">
      <w:start w:val="1"/>
      <w:numFmt w:val="decimal"/>
      <w:lvlText w:val="%8."/>
      <w:lvlJc w:val="left"/>
      <w:pPr>
        <w:tabs>
          <w:tab w:pos="5400" w:val="num"/>
        </w:tabs>
        <w:ind w:hanging="360" w:left="5400"/>
      </w:pPr>
    </w:lvl>
    <w:lvl w:ilvl="8">
      <w:start w:val="1"/>
      <w:numFmt w:val="decimal"/>
      <w:lvlText w:val="%9."/>
      <w:lvlJc w:val="left"/>
      <w:pPr>
        <w:tabs>
          <w:tab w:pos="6120" w:val="num"/>
        </w:tabs>
        <w:ind w:hanging="360" w:left="6120"/>
      </w:pPr>
    </w:lvl>
  </w:abstractNum>
  <w:abstractNum w:abstractNumId="26">
    <w:lvl w:ilvl="0">
      <w:start w:val="1"/>
      <w:numFmt w:val="bullet"/>
      <w:lvlText w:val=""/>
      <w:lvlJc w:val="left"/>
      <w:pPr>
        <w:tabs>
          <w:tab w:pos="1428" w:val="num"/>
        </w:tabs>
        <w:ind w:hanging="360" w:left="1428"/>
      </w:pPr>
      <w:rPr>
        <w:rFonts w:ascii="Symbol" w:cs="Symbol" w:hAnsi="Symbol" w:hint="default"/>
        <w:b w:val="false"/>
      </w:rPr>
    </w:lvl>
    <w:lvl w:ilvl="1">
      <w:start w:val="1"/>
      <w:numFmt w:val="lowerLetter"/>
      <w:lvlText w:val="%2."/>
      <w:lvlJc w:val="left"/>
      <w:pPr>
        <w:ind w:hanging="360" w:left="2148"/>
      </w:pPr>
    </w:lvl>
    <w:lvl w:ilvl="2">
      <w:start w:val="1"/>
      <w:numFmt w:val="lowerRoman"/>
      <w:lvlText w:val="%3."/>
      <w:lvlJc w:val="right"/>
      <w:pPr>
        <w:ind w:hanging="180" w:left="2868"/>
      </w:pPr>
    </w:lvl>
    <w:lvl w:ilvl="3">
      <w:start w:val="1"/>
      <w:numFmt w:val="decimal"/>
      <w:lvlText w:val="%4."/>
      <w:lvlJc w:val="left"/>
      <w:pPr>
        <w:ind w:hanging="360" w:left="3588"/>
      </w:pPr>
    </w:lvl>
    <w:lvl w:ilvl="4">
      <w:start w:val="1"/>
      <w:numFmt w:val="lowerLetter"/>
      <w:lvlText w:val="%5."/>
      <w:lvlJc w:val="left"/>
      <w:pPr>
        <w:ind w:hanging="360" w:left="4308"/>
      </w:pPr>
    </w:lvl>
    <w:lvl w:ilvl="5">
      <w:start w:val="1"/>
      <w:numFmt w:val="lowerRoman"/>
      <w:lvlText w:val="%6."/>
      <w:lvlJc w:val="right"/>
      <w:pPr>
        <w:ind w:hanging="180" w:left="5028"/>
      </w:pPr>
    </w:lvl>
    <w:lvl w:ilvl="6">
      <w:start w:val="1"/>
      <w:numFmt w:val="decimal"/>
      <w:lvlText w:val="%7."/>
      <w:lvlJc w:val="left"/>
      <w:pPr>
        <w:ind w:hanging="360" w:left="5748"/>
      </w:pPr>
    </w:lvl>
    <w:lvl w:ilvl="7">
      <w:start w:val="1"/>
      <w:numFmt w:val="lowerLetter"/>
      <w:lvlText w:val="%8."/>
      <w:lvlJc w:val="left"/>
      <w:pPr>
        <w:ind w:hanging="360" w:left="6468"/>
      </w:pPr>
    </w:lvl>
    <w:lvl w:ilvl="8">
      <w:start w:val="1"/>
      <w:numFmt w:val="lowerRoman"/>
      <w:lvlText w:val="%9."/>
      <w:lvlJc w:val="right"/>
      <w:pPr>
        <w:ind w:hanging="180" w:left="7188"/>
      </w:pPr>
    </w:lvl>
  </w:abstractNum>
  <w:abstractNum w:abstractNumId="27">
    <w:lvl w:ilvl="0">
      <w:start w:val="1"/>
      <w:numFmt w:val="bullet"/>
      <w:lvlText w:val=""/>
      <w:lvlJc w:val="left"/>
      <w:pPr>
        <w:tabs>
          <w:tab w:pos="1068" w:val="num"/>
        </w:tabs>
        <w:ind w:hanging="360" w:left="1068"/>
      </w:pPr>
      <w:rPr>
        <w:rFonts w:ascii="Symbol" w:cs="Symbol" w:hAnsi="Symbol" w:hint="default"/>
      </w:rPr>
    </w:lvl>
    <w:lvl w:ilvl="1">
      <w:start w:val="1"/>
      <w:numFmt w:val="decimal"/>
      <w:lvlText w:val="%2)"/>
      <w:lvlJc w:val="left"/>
      <w:pPr>
        <w:tabs>
          <w:tab w:pos="1788" w:val="num"/>
        </w:tabs>
        <w:ind w:hanging="360" w:left="1788"/>
      </w:pPr>
      <w:rPr>
        <w:b/>
      </w:rPr>
    </w:lvl>
    <w:lvl w:ilvl="2">
      <w:start w:val="1"/>
      <w:numFmt w:val="bullet"/>
      <w:lvlText w:val=""/>
      <w:lvlJc w:val="left"/>
      <w:pPr>
        <w:tabs>
          <w:tab w:pos="2688" w:val="num"/>
        </w:tabs>
        <w:ind w:hanging="360" w:left="2688"/>
      </w:pPr>
      <w:rPr>
        <w:rFonts w:ascii="Symbol" w:cs="Symbol" w:hAnsi="Symbol" w:hint="default"/>
      </w:rPr>
    </w:lvl>
    <w:lvl w:ilvl="3">
      <w:start w:val="1"/>
      <w:numFmt w:val="decimal"/>
      <w:lvlText w:val="%4)"/>
      <w:lvlJc w:val="left"/>
      <w:pPr>
        <w:tabs>
          <w:tab w:pos="3228" w:val="num"/>
        </w:tabs>
        <w:ind w:hanging="360" w:left="3228"/>
      </w:pPr>
      <w:rPr>
        <w:b/>
      </w:rPr>
    </w:lvl>
    <w:lvl w:ilvl="4">
      <w:start w:val="1"/>
      <w:numFmt w:val="decimal"/>
      <w:lvlText w:val="%5."/>
      <w:lvlJc w:val="left"/>
      <w:pPr>
        <w:tabs>
          <w:tab w:pos="3948" w:val="num"/>
        </w:tabs>
        <w:ind w:hanging="360" w:left="3948"/>
      </w:pPr>
    </w:lvl>
    <w:lvl w:ilvl="5">
      <w:start w:val="1"/>
      <w:numFmt w:val="decimal"/>
      <w:lvlText w:val="%6."/>
      <w:lvlJc w:val="left"/>
      <w:pPr>
        <w:tabs>
          <w:tab w:pos="4848" w:val="num"/>
        </w:tabs>
        <w:ind w:hanging="360" w:left="4848"/>
      </w:pPr>
    </w:lvl>
    <w:lvl w:ilvl="6">
      <w:start w:val="1"/>
      <w:numFmt w:val="decimal"/>
      <w:lvlText w:val="%7."/>
      <w:lvlJc w:val="left"/>
      <w:pPr>
        <w:tabs>
          <w:tab w:pos="5388" w:val="num"/>
        </w:tabs>
        <w:ind w:hanging="360" w:left="5388"/>
      </w:pPr>
    </w:lvl>
    <w:lvl w:ilvl="7">
      <w:start w:val="1"/>
      <w:numFmt w:val="decimal"/>
      <w:lvlText w:val="%8."/>
      <w:lvlJc w:val="left"/>
      <w:pPr>
        <w:tabs>
          <w:tab w:pos="6108" w:val="num"/>
        </w:tabs>
        <w:ind w:hanging="360" w:left="6108"/>
      </w:pPr>
    </w:lvl>
    <w:lvl w:ilvl="8">
      <w:start w:val="1"/>
      <w:numFmt w:val="decimal"/>
      <w:lvlText w:val="%9."/>
      <w:lvlJc w:val="left"/>
      <w:pPr>
        <w:tabs>
          <w:tab w:pos="6828" w:val="num"/>
        </w:tabs>
        <w:ind w:hanging="360" w:left="6828"/>
      </w:pPr>
    </w:lvl>
  </w:abstractNum>
  <w:abstractNum w:abstractNumId="28">
    <w:lvl w:ilvl="0">
      <w:start w:val="1"/>
      <w:numFmt w:val="bullet"/>
      <w:lvlText w:val=""/>
      <w:lvlJc w:val="left"/>
      <w:pPr>
        <w:ind w:hanging="360" w:left="1068"/>
      </w:pPr>
      <w:rPr>
        <w:rFonts w:ascii="Symbol" w:cs="Symbol" w:hAnsi="Symbol" w:hint="default"/>
      </w:rPr>
    </w:lvl>
    <w:lvl w:ilvl="1">
      <w:start w:val="1"/>
      <w:numFmt w:val="lowerLetter"/>
      <w:lvlText w:val="%2."/>
      <w:lvlJc w:val="left"/>
      <w:pPr>
        <w:ind w:hanging="360" w:left="1788"/>
      </w:pPr>
    </w:lvl>
    <w:lvl w:ilvl="2">
      <w:start w:val="1"/>
      <w:numFmt w:val="lowerRoman"/>
      <w:lvlText w:val="%3."/>
      <w:lvlJc w:val="right"/>
      <w:pPr>
        <w:ind w:hanging="180" w:left="2508"/>
      </w:pPr>
    </w:lvl>
    <w:lvl w:ilvl="3">
      <w:start w:val="1"/>
      <w:numFmt w:val="decimal"/>
      <w:lvlText w:val="%4."/>
      <w:lvlJc w:val="left"/>
      <w:pPr>
        <w:ind w:hanging="360" w:left="3228"/>
      </w:pPr>
    </w:lvl>
    <w:lvl w:ilvl="4">
      <w:start w:val="1"/>
      <w:numFmt w:val="lowerLetter"/>
      <w:lvlText w:val="%5."/>
      <w:lvlJc w:val="left"/>
      <w:pPr>
        <w:ind w:hanging="360" w:left="3948"/>
      </w:pPr>
    </w:lvl>
    <w:lvl w:ilvl="5">
      <w:start w:val="1"/>
      <w:numFmt w:val="lowerRoman"/>
      <w:lvlText w:val="%6."/>
      <w:lvlJc w:val="right"/>
      <w:pPr>
        <w:ind w:hanging="180" w:left="4668"/>
      </w:pPr>
    </w:lvl>
    <w:lvl w:ilvl="6">
      <w:start w:val="1"/>
      <w:numFmt w:val="decimal"/>
      <w:lvlText w:val="%7."/>
      <w:lvlJc w:val="left"/>
      <w:pPr>
        <w:ind w:hanging="360" w:left="5388"/>
      </w:pPr>
    </w:lvl>
    <w:lvl w:ilvl="7">
      <w:start w:val="1"/>
      <w:numFmt w:val="lowerLetter"/>
      <w:lvlText w:val="%8."/>
      <w:lvlJc w:val="left"/>
      <w:pPr>
        <w:ind w:hanging="360" w:left="6108"/>
      </w:pPr>
    </w:lvl>
    <w:lvl w:ilvl="8">
      <w:start w:val="1"/>
      <w:numFmt w:val="lowerRoman"/>
      <w:lvlText w:val="%9."/>
      <w:lvlJc w:val="right"/>
      <w:pPr>
        <w:ind w:hanging="180" w:left="6828"/>
      </w:pPr>
    </w:lvl>
  </w:abstractNum>
  <w:abstractNum w:abstractNumId="29">
    <w:lvl w:ilvl="0">
      <w:start w:val="1"/>
      <w:numFmt w:val="bullet"/>
      <w:lvlText w:val=""/>
      <w:lvlJc w:val="left"/>
      <w:pPr>
        <w:ind w:hanging="360" w:left="720"/>
      </w:pPr>
      <w:rPr>
        <w:rFonts w:ascii="Symbol" w:cs="Symbol" w:hAnsi="Symbol" w:hint="default"/>
      </w:rPr>
    </w:lvl>
    <w:lvl w:ilvl="1">
      <w:start w:val="1"/>
      <w:numFmt w:val="bullet"/>
      <w:lvlText w:val="o"/>
      <w:lvlJc w:val="left"/>
      <w:pPr>
        <w:ind w:hanging="360" w:left="1440"/>
      </w:pPr>
      <w:rPr>
        <w:rFonts w:ascii="Courier New" w:cs="Courier New" w:hAnsi="Courier New" w:hint="default"/>
      </w:rPr>
    </w:lvl>
    <w:lvl w:ilvl="2">
      <w:start w:val="1"/>
      <w:numFmt w:val="bullet"/>
      <w:lvlText w:val=""/>
      <w:lvlJc w:val="left"/>
      <w:pPr>
        <w:ind w:hanging="360" w:left="2160"/>
      </w:pPr>
      <w:rPr>
        <w:rFonts w:ascii="Wingdings" w:cs="Wingdings" w:hAnsi="Wingdings" w:hint="default"/>
      </w:rPr>
    </w:lvl>
    <w:lvl w:ilvl="3">
      <w:start w:val="1"/>
      <w:numFmt w:val="bullet"/>
      <w:lvlText w:val=""/>
      <w:lvlJc w:val="left"/>
      <w:pPr>
        <w:ind w:hanging="360" w:left="2880"/>
      </w:pPr>
      <w:rPr>
        <w:rFonts w:ascii="Symbol" w:cs="Symbol" w:hAnsi="Symbol" w:hint="default"/>
      </w:rPr>
    </w:lvl>
    <w:lvl w:ilvl="4">
      <w:start w:val="1"/>
      <w:numFmt w:val="bullet"/>
      <w:lvlText w:val="o"/>
      <w:lvlJc w:val="left"/>
      <w:pPr>
        <w:ind w:hanging="360" w:left="3600"/>
      </w:pPr>
      <w:rPr>
        <w:rFonts w:ascii="Courier New" w:cs="Courier New" w:hAnsi="Courier New" w:hint="default"/>
      </w:rPr>
    </w:lvl>
    <w:lvl w:ilvl="5">
      <w:start w:val="1"/>
      <w:numFmt w:val="bullet"/>
      <w:lvlText w:val=""/>
      <w:lvlJc w:val="left"/>
      <w:pPr>
        <w:ind w:hanging="360" w:left="4320"/>
      </w:pPr>
      <w:rPr>
        <w:rFonts w:ascii="Wingdings" w:cs="Wingdings" w:hAnsi="Wingdings" w:hint="default"/>
      </w:rPr>
    </w:lvl>
    <w:lvl w:ilvl="6">
      <w:start w:val="1"/>
      <w:numFmt w:val="bullet"/>
      <w:lvlText w:val=""/>
      <w:lvlJc w:val="left"/>
      <w:pPr>
        <w:ind w:hanging="360" w:left="5040"/>
      </w:pPr>
      <w:rPr>
        <w:rFonts w:ascii="Symbol" w:cs="Symbol" w:hAnsi="Symbol" w:hint="default"/>
      </w:rPr>
    </w:lvl>
    <w:lvl w:ilvl="7">
      <w:start w:val="1"/>
      <w:numFmt w:val="bullet"/>
      <w:lvlText w:val="o"/>
      <w:lvlJc w:val="left"/>
      <w:pPr>
        <w:ind w:hanging="360" w:left="5760"/>
      </w:pPr>
      <w:rPr>
        <w:rFonts w:ascii="Courier New" w:cs="Courier New" w:hAnsi="Courier New" w:hint="default"/>
      </w:rPr>
    </w:lvl>
    <w:lvl w:ilvl="8">
      <w:start w:val="1"/>
      <w:numFmt w:val="bullet"/>
      <w:lvlText w:val=""/>
      <w:lvlJc w:val="left"/>
      <w:pPr>
        <w:ind w:hanging="360" w:left="6480"/>
      </w:pPr>
      <w:rPr>
        <w:rFonts w:ascii="Wingdings" w:cs="Wingdings" w:hAnsi="Wingdings" w:hint="default"/>
      </w:rPr>
    </w:lvl>
  </w:abstractNum>
  <w:abstractNum w:abstractNumId="30">
    <w:lvl w:ilvl="0">
      <w:start w:val="1"/>
      <w:numFmt w:val="decimal"/>
      <w:lvlText w:val="%1."/>
      <w:lvlJc w:val="left"/>
      <w:pPr>
        <w:tabs>
          <w:tab w:pos="720" w:val="num"/>
        </w:tabs>
        <w:ind w:hanging="360" w:left="720"/>
      </w:pPr>
    </w:lvl>
    <w:lvl w:ilvl="1">
      <w:start w:val="1"/>
      <w:numFmt w:val="decimal"/>
      <w:lvlText w:val="%2."/>
      <w:lvlJc w:val="left"/>
      <w:pPr>
        <w:tabs>
          <w:tab w:pos="644" w:val="num"/>
        </w:tabs>
        <w:ind w:hanging="360" w:left="644"/>
      </w:pPr>
    </w:lvl>
    <w:lvl w:ilvl="2">
      <w:start w:val="1"/>
      <w:numFmt w:val="decimal"/>
      <w:lvlText w:val="%3."/>
      <w:lvlJc w:val="left"/>
      <w:pPr>
        <w:tabs>
          <w:tab w:pos="2160" w:val="num"/>
        </w:tabs>
        <w:ind w:hanging="360" w:left="2160"/>
      </w:pPr>
    </w:lvl>
    <w:lvl w:ilvl="3">
      <w:start w:val="1"/>
      <w:numFmt w:val="decimal"/>
      <w:lvlText w:val="%4."/>
      <w:lvlJc w:val="left"/>
      <w:pPr>
        <w:tabs>
          <w:tab w:pos="2880" w:val="num"/>
        </w:tabs>
        <w:ind w:hanging="360" w:left="2880"/>
      </w:pPr>
    </w:lvl>
    <w:lvl w:ilvl="4">
      <w:start w:val="1"/>
      <w:numFmt w:val="decimal"/>
      <w:lvlText w:val="%5."/>
      <w:lvlJc w:val="left"/>
      <w:pPr>
        <w:tabs>
          <w:tab w:pos="3600" w:val="num"/>
        </w:tabs>
        <w:ind w:hanging="360" w:left="3600"/>
      </w:pPr>
    </w:lvl>
    <w:lvl w:ilvl="5">
      <w:start w:val="1"/>
      <w:numFmt w:val="decimal"/>
      <w:lvlText w:val="%6."/>
      <w:lvlJc w:val="left"/>
      <w:pPr>
        <w:tabs>
          <w:tab w:pos="4320" w:val="num"/>
        </w:tabs>
        <w:ind w:hanging="360" w:left="4320"/>
      </w:pPr>
    </w:lvl>
    <w:lvl w:ilvl="6">
      <w:start w:val="1"/>
      <w:numFmt w:val="decimal"/>
      <w:lvlText w:val="%7."/>
      <w:lvlJc w:val="left"/>
      <w:pPr>
        <w:tabs>
          <w:tab w:pos="5040" w:val="num"/>
        </w:tabs>
        <w:ind w:hanging="360" w:left="5040"/>
      </w:pPr>
    </w:lvl>
    <w:lvl w:ilvl="7">
      <w:start w:val="1"/>
      <w:numFmt w:val="decimal"/>
      <w:lvlText w:val="%8."/>
      <w:lvlJc w:val="left"/>
      <w:pPr>
        <w:tabs>
          <w:tab w:pos="5760" w:val="num"/>
        </w:tabs>
        <w:ind w:hanging="360" w:left="5760"/>
      </w:pPr>
    </w:lvl>
    <w:lvl w:ilvl="8">
      <w:start w:val="1"/>
      <w:numFmt w:val="decimal"/>
      <w:lvlText w:val="%9."/>
      <w:lvlJc w:val="left"/>
      <w:pPr>
        <w:tabs>
          <w:tab w:pos="6480" w:val="num"/>
        </w:tabs>
        <w:ind w:hanging="360" w:left="6480"/>
      </w:pPr>
    </w:lvl>
  </w:abstractNum>
  <w:abstractNum w:abstractNumId="31">
    <w:lvl w:ilvl="0">
      <w:start w:val="1"/>
      <w:numFmt w:val="bullet"/>
      <w:lvlText w:val=""/>
      <w:lvlJc w:val="left"/>
      <w:pPr>
        <w:ind w:hanging="360" w:left="1068"/>
      </w:pPr>
      <w:rPr>
        <w:rFonts w:ascii="Symbol" w:cs="Symbol" w:hAnsi="Symbol" w:hint="default"/>
      </w:rPr>
    </w:lvl>
    <w:lvl w:ilvl="1">
      <w:start w:val="1"/>
      <w:numFmt w:val="lowerLetter"/>
      <w:lvlText w:val="%2."/>
      <w:lvlJc w:val="left"/>
      <w:pPr>
        <w:ind w:hanging="360" w:left="1788"/>
      </w:pPr>
    </w:lvl>
    <w:lvl w:ilvl="2">
      <w:start w:val="1"/>
      <w:numFmt w:val="lowerRoman"/>
      <w:lvlText w:val="%3."/>
      <w:lvlJc w:val="right"/>
      <w:pPr>
        <w:ind w:hanging="180" w:left="2508"/>
      </w:pPr>
    </w:lvl>
    <w:lvl w:ilvl="3">
      <w:start w:val="1"/>
      <w:numFmt w:val="decimal"/>
      <w:lvlText w:val="%4."/>
      <w:lvlJc w:val="left"/>
      <w:pPr>
        <w:ind w:hanging="360" w:left="3228"/>
      </w:pPr>
    </w:lvl>
    <w:lvl w:ilvl="4">
      <w:start w:val="1"/>
      <w:numFmt w:val="lowerLetter"/>
      <w:lvlText w:val="%5."/>
      <w:lvlJc w:val="left"/>
      <w:pPr>
        <w:ind w:hanging="360" w:left="3948"/>
      </w:pPr>
    </w:lvl>
    <w:lvl w:ilvl="5">
      <w:start w:val="1"/>
      <w:numFmt w:val="lowerRoman"/>
      <w:lvlText w:val="%6."/>
      <w:lvlJc w:val="right"/>
      <w:pPr>
        <w:ind w:hanging="180" w:left="4668"/>
      </w:pPr>
    </w:lvl>
    <w:lvl w:ilvl="6">
      <w:start w:val="1"/>
      <w:numFmt w:val="decimal"/>
      <w:lvlText w:val="%7."/>
      <w:lvlJc w:val="left"/>
      <w:pPr>
        <w:ind w:hanging="360" w:left="5388"/>
      </w:pPr>
    </w:lvl>
    <w:lvl w:ilvl="7">
      <w:start w:val="1"/>
      <w:numFmt w:val="lowerLetter"/>
      <w:lvlText w:val="%8."/>
      <w:lvlJc w:val="left"/>
      <w:pPr>
        <w:ind w:hanging="360" w:left="6108"/>
      </w:pPr>
    </w:lvl>
    <w:lvl w:ilvl="8">
      <w:start w:val="1"/>
      <w:numFmt w:val="lowerRoman"/>
      <w:lvlText w:val="%9."/>
      <w:lvlJc w:val="right"/>
      <w:pPr>
        <w:ind w:hanging="180" w:left="6828"/>
      </w:pPr>
    </w:lvl>
  </w:abstractNum>
  <w:abstractNum w:abstractNumId="32">
    <w:lvl w:ilvl="0">
      <w:start w:val="1"/>
      <w:numFmt w:val="lowerLetter"/>
      <w:lvlText w:val="%1."/>
      <w:lvlJc w:val="left"/>
      <w:pPr>
        <w:ind w:hanging="360" w:left="656"/>
      </w:pPr>
    </w:lvl>
    <w:lvl w:ilvl="1">
      <w:start w:val="1"/>
      <w:numFmt w:val="lowerLetter"/>
      <w:lvlText w:val="%2."/>
      <w:lvlJc w:val="left"/>
      <w:pPr>
        <w:ind w:hanging="360" w:left="1376"/>
      </w:pPr>
    </w:lvl>
    <w:lvl w:ilvl="2">
      <w:start w:val="1"/>
      <w:numFmt w:val="lowerRoman"/>
      <w:lvlText w:val="%3."/>
      <w:lvlJc w:val="right"/>
      <w:pPr>
        <w:ind w:hanging="180" w:left="2096"/>
      </w:pPr>
    </w:lvl>
    <w:lvl w:ilvl="3">
      <w:start w:val="1"/>
      <w:numFmt w:val="decimal"/>
      <w:lvlText w:val="%4."/>
      <w:lvlJc w:val="left"/>
      <w:pPr>
        <w:ind w:hanging="360" w:left="2816"/>
      </w:pPr>
    </w:lvl>
    <w:lvl w:ilvl="4">
      <w:start w:val="1"/>
      <w:numFmt w:val="lowerLetter"/>
      <w:lvlText w:val="%5."/>
      <w:lvlJc w:val="left"/>
      <w:pPr>
        <w:ind w:hanging="360" w:left="3536"/>
      </w:pPr>
    </w:lvl>
    <w:lvl w:ilvl="5">
      <w:start w:val="1"/>
      <w:numFmt w:val="lowerRoman"/>
      <w:lvlText w:val="%6."/>
      <w:lvlJc w:val="right"/>
      <w:pPr>
        <w:ind w:hanging="180" w:left="4256"/>
      </w:pPr>
    </w:lvl>
    <w:lvl w:ilvl="6">
      <w:start w:val="1"/>
      <w:numFmt w:val="decimal"/>
      <w:lvlText w:val="%7."/>
      <w:lvlJc w:val="left"/>
      <w:pPr>
        <w:ind w:hanging="360" w:left="4976"/>
      </w:pPr>
    </w:lvl>
    <w:lvl w:ilvl="7">
      <w:start w:val="1"/>
      <w:numFmt w:val="lowerLetter"/>
      <w:lvlText w:val="%8."/>
      <w:lvlJc w:val="left"/>
      <w:pPr>
        <w:ind w:hanging="360" w:left="5696"/>
      </w:pPr>
    </w:lvl>
    <w:lvl w:ilvl="8">
      <w:start w:val="1"/>
      <w:numFmt w:val="lowerRoman"/>
      <w:lvlText w:val="%9."/>
      <w:lvlJc w:val="right"/>
      <w:pPr>
        <w:ind w:hanging="180" w:left="6416"/>
      </w:pPr>
    </w:lvl>
  </w:abstractNum>
  <w:abstractNum w:abstractNumId="33">
    <w:lvl w:ilvl="0">
      <w:start w:val="1"/>
      <w:numFmt w:val="lowerLetter"/>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34">
    <w:lvl w:ilvl="0">
      <w:start w:val="1"/>
      <w:numFmt w:val="lowerLetter"/>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35">
    <w:lvl w:ilvl="0">
      <w:start w:val="1"/>
      <w:numFmt w:val="lowerLetter"/>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36">
    <w:lvl w:ilvl="0">
      <w:start w:val="1"/>
      <w:numFmt w:val="lowerLetter"/>
      <w:lvlText w:val="%1."/>
      <w:lvlJc w:val="left"/>
      <w:pPr>
        <w:ind w:hanging="360" w:left="720"/>
      </w:pPr>
    </w:lvl>
    <w:lvl w:ilvl="1">
      <w:start w:val="1"/>
      <w:numFmt w:val="decimal"/>
      <w:lvlText w:val="%2)"/>
      <w:lvlJc w:val="left"/>
      <w:pPr>
        <w:ind w:hanging="360" w:left="1440"/>
      </w:pPr>
    </w:lvl>
    <w:lvl w:ilvl="2">
      <w:start w:val="1"/>
      <w:numFmt w:val="lowerLetter"/>
      <w:lvlText w:val="%3."/>
      <w:lvlJc w:val="left"/>
      <w:pPr>
        <w:tabs>
          <w:tab w:pos="2340" w:val="num"/>
        </w:tabs>
        <w:ind w:hanging="360" w:left="234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37">
    <w:lvl w:ilvl="0">
      <w:start w:val="1"/>
      <w:numFmt w:val="upperRoman"/>
      <w:lvlText w:val="%1."/>
      <w:lvlJc w:val="left"/>
      <w:pPr>
        <w:ind w:hanging="720" w:left="720"/>
      </w:pPr>
    </w:lvl>
    <w:lvl w:ilvl="1">
      <w:start w:val="1"/>
      <w:numFmt w:val="lowerLetter"/>
      <w:lvlText w:val="%2."/>
      <w:lvlJc w:val="left"/>
      <w:pPr>
        <w:ind w:hanging="360" w:left="1080"/>
      </w:pPr>
    </w:lvl>
    <w:lvl w:ilvl="2">
      <w:start w:val="1"/>
      <w:numFmt w:val="lowerRoman"/>
      <w:lvlText w:val="%3."/>
      <w:lvlJc w:val="right"/>
      <w:pPr>
        <w:ind w:hanging="180" w:left="1800"/>
      </w:pPr>
    </w:lvl>
    <w:lvl w:ilvl="3">
      <w:start w:val="1"/>
      <w:numFmt w:val="decimal"/>
      <w:lvlText w:val="%4."/>
      <w:lvlJc w:val="left"/>
      <w:pPr>
        <w:ind w:hanging="360" w:left="2520"/>
      </w:pPr>
    </w:lvl>
    <w:lvl w:ilvl="4">
      <w:start w:val="1"/>
      <w:numFmt w:val="lowerLetter"/>
      <w:lvlText w:val="%5."/>
      <w:lvlJc w:val="left"/>
      <w:pPr>
        <w:ind w:hanging="360" w:left="3240"/>
      </w:pPr>
    </w:lvl>
    <w:lvl w:ilvl="5">
      <w:start w:val="1"/>
      <w:numFmt w:val="lowerRoman"/>
      <w:lvlText w:val="%6."/>
      <w:lvlJc w:val="right"/>
      <w:pPr>
        <w:ind w:hanging="180" w:left="3960"/>
      </w:pPr>
    </w:lvl>
    <w:lvl w:ilvl="6">
      <w:start w:val="1"/>
      <w:numFmt w:val="decimal"/>
      <w:lvlText w:val="%7."/>
      <w:lvlJc w:val="left"/>
      <w:pPr>
        <w:ind w:hanging="360" w:left="4680"/>
      </w:pPr>
    </w:lvl>
    <w:lvl w:ilvl="7">
      <w:start w:val="1"/>
      <w:numFmt w:val="lowerLetter"/>
      <w:lvlText w:val="%8."/>
      <w:lvlJc w:val="left"/>
      <w:pPr>
        <w:ind w:hanging="360" w:left="5400"/>
      </w:pPr>
    </w:lvl>
    <w:lvl w:ilvl="8">
      <w:start w:val="1"/>
      <w:numFmt w:val="lowerRoman"/>
      <w:lvlText w:val="%9."/>
      <w:lvlJc w:val="right"/>
      <w:pPr>
        <w:ind w:hanging="180" w:left="6120"/>
      </w:pPr>
    </w:lvl>
  </w:abstractNum>
  <w:abstractNum w:abstractNumId="38">
    <w:lvl w:ilvl="0">
      <w:start w:val="1"/>
      <w:numFmt w:val="decimal"/>
      <w:lvlText w:val="%1."/>
      <w:lvlJc w:val="left"/>
      <w:pPr>
        <w:ind w:hanging="360" w:left="360"/>
      </w:pPr>
    </w:lvl>
    <w:lvl w:ilvl="1">
      <w:start w:val="1"/>
      <w:numFmt w:val="decimal"/>
      <w:lvlText w:val="%2."/>
      <w:lvlJc w:val="left"/>
      <w:pPr>
        <w:tabs>
          <w:tab w:pos="1440" w:val="num"/>
        </w:tabs>
        <w:ind w:hanging="360" w:left="1440"/>
      </w:pPr>
    </w:lvl>
    <w:lvl w:ilvl="2">
      <w:start w:val="21"/>
      <w:numFmt w:val="upperRoman"/>
      <w:lvlText w:val="%3."/>
      <w:lvlJc w:val="left"/>
      <w:pPr>
        <w:tabs>
          <w:tab w:pos="2700" w:val="num"/>
        </w:tabs>
        <w:ind w:hanging="720" w:left="2700"/>
      </w:pPr>
    </w:lvl>
    <w:lvl w:ilvl="3">
      <w:start w:val="1"/>
      <w:numFmt w:val="decimal"/>
      <w:lvlText w:val="%4."/>
      <w:lvlJc w:val="left"/>
      <w:pPr>
        <w:tabs>
          <w:tab w:pos="2880" w:val="num"/>
        </w:tabs>
        <w:ind w:hanging="360" w:left="2880"/>
      </w:pPr>
    </w:lvl>
    <w:lvl w:ilvl="4">
      <w:start w:val="1"/>
      <w:numFmt w:val="decimal"/>
      <w:lvlText w:val="%5."/>
      <w:lvlJc w:val="left"/>
      <w:pPr>
        <w:tabs>
          <w:tab w:pos="3600" w:val="num"/>
        </w:tabs>
        <w:ind w:hanging="360" w:left="3600"/>
      </w:pPr>
    </w:lvl>
    <w:lvl w:ilvl="5">
      <w:start w:val="1"/>
      <w:numFmt w:val="decimal"/>
      <w:lvlText w:val="%6."/>
      <w:lvlJc w:val="left"/>
      <w:pPr>
        <w:tabs>
          <w:tab w:pos="4320" w:val="num"/>
        </w:tabs>
        <w:ind w:hanging="360" w:left="4320"/>
      </w:pPr>
    </w:lvl>
    <w:lvl w:ilvl="6">
      <w:start w:val="1"/>
      <w:numFmt w:val="decimal"/>
      <w:lvlText w:val="%7."/>
      <w:lvlJc w:val="left"/>
      <w:pPr>
        <w:tabs>
          <w:tab w:pos="5040" w:val="num"/>
        </w:tabs>
        <w:ind w:hanging="360" w:left="5040"/>
      </w:pPr>
    </w:lvl>
    <w:lvl w:ilvl="7">
      <w:start w:val="1"/>
      <w:numFmt w:val="decimal"/>
      <w:lvlText w:val="%8."/>
      <w:lvlJc w:val="left"/>
      <w:pPr>
        <w:tabs>
          <w:tab w:pos="5760" w:val="num"/>
        </w:tabs>
        <w:ind w:hanging="360" w:left="5760"/>
      </w:pPr>
    </w:lvl>
    <w:lvl w:ilvl="8">
      <w:start w:val="1"/>
      <w:numFmt w:val="decimal"/>
      <w:lvlText w:val="%9."/>
      <w:lvlJc w:val="left"/>
      <w:pPr>
        <w:tabs>
          <w:tab w:pos="6480" w:val="num"/>
        </w:tabs>
        <w:ind w:hanging="360" w:left="6480"/>
      </w:pPr>
    </w:lvl>
  </w:abstractNum>
  <w:abstractNum w:abstractNumId="39">
    <w:lvl w:ilvl="0">
      <w:start w:val="2"/>
      <w:numFmt w:val="decimal"/>
      <w:lvlText w:val="%1."/>
      <w:lvlJc w:val="left"/>
      <w:pPr>
        <w:ind w:hanging="360" w:left="360"/>
      </w:pPr>
    </w:lvl>
    <w:lvl w:ilvl="1">
      <w:start w:val="1"/>
      <w:numFmt w:val="lowerLetter"/>
      <w:lvlText w:val="%2."/>
      <w:lvlJc w:val="left"/>
      <w:pPr>
        <w:ind w:hanging="360" w:left="1080"/>
      </w:pPr>
    </w:lvl>
    <w:lvl w:ilvl="2">
      <w:start w:val="1"/>
      <w:numFmt w:val="lowerRoman"/>
      <w:lvlText w:val="%3."/>
      <w:lvlJc w:val="right"/>
      <w:pPr>
        <w:ind w:hanging="180" w:left="1800"/>
      </w:pPr>
    </w:lvl>
    <w:lvl w:ilvl="3">
      <w:start w:val="1"/>
      <w:numFmt w:val="decimal"/>
      <w:lvlText w:val="%4."/>
      <w:lvlJc w:val="left"/>
      <w:pPr>
        <w:ind w:hanging="360" w:left="2520"/>
      </w:pPr>
    </w:lvl>
    <w:lvl w:ilvl="4">
      <w:start w:val="1"/>
      <w:numFmt w:val="lowerLetter"/>
      <w:lvlText w:val="%5."/>
      <w:lvlJc w:val="left"/>
      <w:pPr>
        <w:ind w:hanging="360" w:left="3240"/>
      </w:pPr>
    </w:lvl>
    <w:lvl w:ilvl="5">
      <w:start w:val="1"/>
      <w:numFmt w:val="lowerRoman"/>
      <w:lvlText w:val="%6."/>
      <w:lvlJc w:val="right"/>
      <w:pPr>
        <w:ind w:hanging="180" w:left="3960"/>
      </w:pPr>
    </w:lvl>
    <w:lvl w:ilvl="6">
      <w:start w:val="1"/>
      <w:numFmt w:val="decimal"/>
      <w:lvlText w:val="%7."/>
      <w:lvlJc w:val="left"/>
      <w:pPr>
        <w:ind w:hanging="360" w:left="4680"/>
      </w:pPr>
    </w:lvl>
    <w:lvl w:ilvl="7">
      <w:start w:val="1"/>
      <w:numFmt w:val="lowerLetter"/>
      <w:lvlText w:val="%8."/>
      <w:lvlJc w:val="left"/>
      <w:pPr>
        <w:ind w:hanging="360" w:left="5400"/>
      </w:pPr>
    </w:lvl>
    <w:lvl w:ilvl="8">
      <w:start w:val="1"/>
      <w:numFmt w:val="lowerRoman"/>
      <w:lvlText w:val="%9."/>
      <w:lvlJc w:val="right"/>
      <w:pPr>
        <w:ind w:hanging="180" w:left="6120"/>
      </w:pPr>
    </w:lvl>
  </w:abstractNum>
  <w:abstractNum w:abstractNumId="40">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41">
    <w:lvl w:ilvl="0">
      <w:start w:val="1"/>
      <w:numFmt w:val="decimal"/>
      <w:lvlText w:val="%1."/>
      <w:lvlJc w:val="left"/>
      <w:pPr>
        <w:tabs>
          <w:tab w:pos="720" w:val="num"/>
        </w:tabs>
        <w:ind w:hanging="360" w:left="720"/>
      </w:pPr>
    </w:lvl>
    <w:lvl w:ilvl="1">
      <w:start w:val="1"/>
      <w:numFmt w:val="lowerLetter"/>
      <w:lvlText w:val="%2."/>
      <w:lvlJc w:val="left"/>
      <w:pPr>
        <w:ind w:hanging="360" w:left="502"/>
      </w:pPr>
    </w:lvl>
    <w:lvl w:ilvl="2">
      <w:start w:val="1"/>
      <w:numFmt w:val="decimal"/>
      <w:lvlText w:val="%3."/>
      <w:lvlJc w:val="left"/>
      <w:pPr>
        <w:tabs>
          <w:tab w:pos="2520" w:val="num"/>
        </w:tabs>
        <w:ind w:hanging="360" w:left="2520"/>
      </w:pPr>
    </w:lvl>
    <w:lvl w:ilvl="3">
      <w:start w:val="1"/>
      <w:numFmt w:val="decimal"/>
      <w:lvlText w:val="%4."/>
      <w:lvlJc w:val="left"/>
      <w:pPr>
        <w:tabs>
          <w:tab w:pos="3240" w:val="num"/>
        </w:tabs>
        <w:ind w:hanging="360" w:left="3240"/>
      </w:pPr>
    </w:lvl>
    <w:lvl w:ilvl="4">
      <w:start w:val="1"/>
      <w:numFmt w:val="decimal"/>
      <w:lvlText w:val="%5."/>
      <w:lvlJc w:val="left"/>
      <w:pPr>
        <w:tabs>
          <w:tab w:pos="3960" w:val="num"/>
        </w:tabs>
        <w:ind w:hanging="360" w:left="3960"/>
      </w:pPr>
    </w:lvl>
    <w:lvl w:ilvl="5">
      <w:start w:val="1"/>
      <w:numFmt w:val="decimal"/>
      <w:lvlText w:val="%6."/>
      <w:lvlJc w:val="left"/>
      <w:pPr>
        <w:tabs>
          <w:tab w:pos="4680" w:val="num"/>
        </w:tabs>
        <w:ind w:hanging="360" w:left="4680"/>
      </w:pPr>
    </w:lvl>
    <w:lvl w:ilvl="6">
      <w:start w:val="1"/>
      <w:numFmt w:val="decimal"/>
      <w:lvlText w:val="%7."/>
      <w:lvlJc w:val="left"/>
      <w:pPr>
        <w:tabs>
          <w:tab w:pos="5400" w:val="num"/>
        </w:tabs>
        <w:ind w:hanging="360" w:left="5400"/>
      </w:pPr>
    </w:lvl>
    <w:lvl w:ilvl="7">
      <w:start w:val="1"/>
      <w:numFmt w:val="decimal"/>
      <w:lvlText w:val="%8."/>
      <w:lvlJc w:val="left"/>
      <w:pPr>
        <w:tabs>
          <w:tab w:pos="6120" w:val="num"/>
        </w:tabs>
        <w:ind w:hanging="360" w:left="6120"/>
      </w:pPr>
    </w:lvl>
    <w:lvl w:ilvl="8">
      <w:start w:val="1"/>
      <w:numFmt w:val="decimal"/>
      <w:lvlText w:val="%9."/>
      <w:lvlJc w:val="left"/>
      <w:pPr>
        <w:tabs>
          <w:tab w:pos="6840" w:val="num"/>
        </w:tabs>
        <w:ind w:hanging="360" w:left="6840"/>
      </w:pPr>
    </w:lvl>
  </w:abstractNum>
  <w:abstractNum w:abstractNumId="42">
    <w:lvl w:ilvl="0">
      <w:start w:val="1"/>
      <w:numFmt w:val="decimal"/>
      <w:lvlText w:val="%1."/>
      <w:lvlJc w:val="left"/>
      <w:pPr>
        <w:ind w:hanging="360" w:left="360"/>
      </w:pPr>
    </w:lvl>
    <w:lvl w:ilvl="1">
      <w:start w:val="1"/>
      <w:numFmt w:val="decimal"/>
      <w:lvlText w:val="%1.%2."/>
      <w:lvlJc w:val="left"/>
      <w:pPr>
        <w:ind w:hanging="432" w:left="792"/>
      </w:pPr>
    </w:lvl>
    <w:lvl w:ilvl="2">
      <w:start w:val="1"/>
      <w:numFmt w:val="decimal"/>
      <w:lvlText w:val="%1.%2.%3."/>
      <w:lvlJc w:val="left"/>
      <w:pPr>
        <w:ind w:hanging="504" w:left="1224"/>
      </w:pPr>
    </w:lvl>
    <w:lvl w:ilvl="3">
      <w:start w:val="1"/>
      <w:numFmt w:val="decimal"/>
      <w:lvlText w:val="%1.%2.%3.%4."/>
      <w:lvlJc w:val="left"/>
      <w:pPr>
        <w:ind w:hanging="648" w:left="1728"/>
      </w:pPr>
    </w:lvl>
    <w:lvl w:ilvl="4">
      <w:start w:val="1"/>
      <w:numFmt w:val="decimal"/>
      <w:lvlText w:val="%1.%2.%3.%4.%5."/>
      <w:lvlJc w:val="left"/>
      <w:pPr>
        <w:ind w:hanging="792" w:left="2232"/>
      </w:pPr>
    </w:lvl>
    <w:lvl w:ilvl="5">
      <w:start w:val="1"/>
      <w:numFmt w:val="decimal"/>
      <w:lvlText w:val="%1.%2.%3.%4.%5.%6."/>
      <w:lvlJc w:val="left"/>
      <w:pPr>
        <w:ind w:hanging="936" w:left="2736"/>
      </w:pPr>
    </w:lvl>
    <w:lvl w:ilvl="6">
      <w:start w:val="1"/>
      <w:numFmt w:val="decimal"/>
      <w:lvlText w:val="%1.%2.%3.%4.%5.%6.%7."/>
      <w:lvlJc w:val="left"/>
      <w:pPr>
        <w:ind w:hanging="1080" w:left="3240"/>
      </w:pPr>
    </w:lvl>
    <w:lvl w:ilvl="7">
      <w:start w:val="1"/>
      <w:numFmt w:val="decimal"/>
      <w:lvlText w:val="%1.%2.%3.%4.%5.%6.%7.%8."/>
      <w:lvlJc w:val="left"/>
      <w:pPr>
        <w:ind w:hanging="1224" w:left="3744"/>
      </w:pPr>
    </w:lvl>
    <w:lvl w:ilvl="8">
      <w:start w:val="1"/>
      <w:numFmt w:val="decimal"/>
      <w:lvlText w:val="%1.%2.%3.%4.%5.%6.%7.%8.%9."/>
      <w:lvlJc w:val="left"/>
      <w:pPr>
        <w:ind w:hanging="1440" w:left="4320"/>
      </w:pPr>
    </w:lvl>
  </w:abstractNum>
  <w:abstractNum w:abstractNumId="43">
    <w:lvl w:ilvl="0">
      <w:start w:val="1"/>
      <w:numFmt w:val="none"/>
      <w:suff w:val="nothing"/>
      <w:lvlText w:val=""/>
      <w:lvlJc w:val="left"/>
      <w:pPr>
        <w:tabs>
          <w:tab w:pos="432" w:val="num"/>
        </w:tabs>
        <w:ind w:hanging="432" w:left="432"/>
      </w:pPr>
    </w:lvl>
    <w:lvl w:ilvl="1">
      <w:start w:val="1"/>
      <w:numFmt w:val="none"/>
      <w:suff w:val="nothing"/>
      <w:lvlText w:val=""/>
      <w:lvlJc w:val="left"/>
      <w:pPr>
        <w:tabs>
          <w:tab w:pos="576" w:val="num"/>
        </w:tabs>
        <w:ind w:hanging="576" w:left="576"/>
      </w:pPr>
    </w:lvl>
    <w:lvl w:ilvl="2">
      <w:start w:val="1"/>
      <w:numFmt w:val="none"/>
      <w:suff w:val="nothing"/>
      <w:lvlText w:val=""/>
      <w:lvlJc w:val="left"/>
      <w:pPr>
        <w:tabs>
          <w:tab w:pos="720" w:val="num"/>
        </w:tabs>
        <w:ind w:hanging="720" w:left="720"/>
      </w:pPr>
    </w:lvl>
    <w:lvl w:ilvl="3">
      <w:start w:val="1"/>
      <w:numFmt w:val="none"/>
      <w:suff w:val="nothing"/>
      <w:lvlText w:val=""/>
      <w:lvlJc w:val="left"/>
      <w:pPr>
        <w:tabs>
          <w:tab w:pos="864" w:val="num"/>
        </w:tabs>
        <w:ind w:hanging="864" w:left="864"/>
      </w:pPr>
    </w:lvl>
    <w:lvl w:ilvl="4">
      <w:start w:val="1"/>
      <w:numFmt w:val="none"/>
      <w:suff w:val="nothing"/>
      <w:lvlText w:val=""/>
      <w:lvlJc w:val="left"/>
      <w:pPr>
        <w:tabs>
          <w:tab w:pos="1008" w:val="num"/>
        </w:tabs>
        <w:ind w:hanging="1008" w:left="1008"/>
      </w:pPr>
    </w:lvl>
    <w:lvl w:ilvl="5">
      <w:start w:val="1"/>
      <w:numFmt w:val="none"/>
      <w:suff w:val="nothing"/>
      <w:lvlText w:val=""/>
      <w:lvlJc w:val="left"/>
      <w:pPr>
        <w:tabs>
          <w:tab w:pos="1152" w:val="num"/>
        </w:tabs>
        <w:ind w:hanging="1152" w:left="1152"/>
      </w:pPr>
    </w:lvl>
    <w:lvl w:ilvl="6">
      <w:start w:val="1"/>
      <w:numFmt w:val="none"/>
      <w:suff w:val="nothing"/>
      <w:lvlText w:val=""/>
      <w:lvlJc w:val="left"/>
      <w:pPr>
        <w:tabs>
          <w:tab w:pos="1296" w:val="num"/>
        </w:tabs>
        <w:ind w:hanging="1296" w:left="1296"/>
      </w:pPr>
    </w:lvl>
    <w:lvl w:ilvl="7">
      <w:start w:val="1"/>
      <w:numFmt w:val="none"/>
      <w:suff w:val="nothing"/>
      <w:lvlText w:val=""/>
      <w:lvlJc w:val="left"/>
      <w:pPr>
        <w:tabs>
          <w:tab w:pos="1440" w:val="num"/>
        </w:tabs>
        <w:ind w:hanging="1440" w:left="1440"/>
      </w:pPr>
    </w:lvl>
    <w:lvl w:ilvl="8">
      <w:start w:val="1"/>
      <w:numFmt w:val="none"/>
      <w:suff w:val="nothing"/>
      <w:lvlText w:val=""/>
      <w:lvlJc w:val="left"/>
      <w:pPr>
        <w:tabs>
          <w:tab w:pos="1584" w:val="num"/>
        </w:tabs>
        <w:ind w:hanging="1584" w:left="1584"/>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bering>
</file>

<file path=word/settings.xml><?xml version="1.0" encoding="utf-8"?>
<w:settings xmlns:w="http://schemas.openxmlformats.org/wordprocessingml/2006/main">
  <w:zoom w:percent="108"/>
  <w:defaultTabStop w:val="709"/>
</w:settings>
</file>

<file path=word/styles.xml><?xml version="1.0" encoding="utf-8"?>
<w:styles xmlns:w="http://schemas.openxmlformats.org/wordprocessingml/2006/main">
  <w:style w:styleId="style0" w:type="paragraph">
    <w:name w:val="Domyślnie"/>
    <w:next w:val="style0"/>
    <w:pPr>
      <w:widowControl/>
      <w:suppressAutoHyphens w:val="true"/>
    </w:pPr>
    <w:rPr>
      <w:rFonts w:ascii="Times New Roman" w:cs="Times New Roman" w:eastAsia="Calibri" w:hAnsi="Times New Roman"/>
      <w:color w:val="000000"/>
      <w:sz w:val="24"/>
      <w:szCs w:val="24"/>
      <w:lang w:bidi="ar-SA" w:eastAsia="en-US" w:val="pl-PL"/>
    </w:rPr>
  </w:style>
  <w:style w:styleId="style1" w:type="paragraph">
    <w:name w:val="Nagłówek 1"/>
    <w:basedOn w:val="style0"/>
    <w:next w:val="style1"/>
    <w:pPr>
      <w:keepNext/>
      <w:jc w:val="center"/>
    </w:pPr>
    <w:rPr>
      <w:rFonts w:ascii="Garamond" w:cs="Arial Unicode MS" w:eastAsia="Arial Unicode MS" w:hAnsi="Garamond"/>
      <w:b/>
      <w:sz w:val="28"/>
    </w:rPr>
  </w:style>
  <w:style w:styleId="style2" w:type="paragraph">
    <w:name w:val="Nagłówek 2"/>
    <w:basedOn w:val="style0"/>
    <w:next w:val="style2"/>
    <w:pPr>
      <w:keepNext/>
    </w:pPr>
    <w:rPr>
      <w:rFonts w:ascii="Garamond" w:cs="Arial Unicode MS" w:eastAsia="Arial Unicode MS" w:hAnsi="Garamond"/>
      <w:b/>
      <w:color w:val="000000"/>
    </w:rPr>
  </w:style>
  <w:style w:styleId="style3" w:type="paragraph">
    <w:name w:val="Nagłówek 3"/>
    <w:basedOn w:val="style0"/>
    <w:next w:val="style3"/>
    <w:pPr>
      <w:keepNext/>
    </w:pPr>
    <w:rPr>
      <w:rFonts w:ascii="Arial" w:eastAsia="Arial Unicode MS" w:hAnsi="Arial"/>
      <w:b/>
      <w:sz w:val="20"/>
      <w:szCs w:val="20"/>
    </w:rPr>
  </w:style>
  <w:style w:styleId="style4" w:type="paragraph">
    <w:name w:val="Nagłówek 4"/>
    <w:basedOn w:val="style0"/>
    <w:next w:val="style4"/>
    <w:pPr>
      <w:keepNext/>
      <w:ind w:firstLine="708" w:left="0" w:right="0"/>
    </w:pPr>
    <w:rPr>
      <w:rFonts w:ascii="Arial Narrow" w:hAnsi="Arial Narrow"/>
      <w:b/>
      <w:bCs/>
      <w:sz w:val="20"/>
    </w:rPr>
  </w:style>
  <w:style w:styleId="style5" w:type="paragraph">
    <w:name w:val="Nagłówek 5"/>
    <w:basedOn w:val="style0"/>
    <w:next w:val="style5"/>
    <w:pPr>
      <w:keepNext/>
      <w:jc w:val="both"/>
    </w:pPr>
    <w:rPr>
      <w:rFonts w:ascii="Arial" w:eastAsia="Arial Unicode MS" w:hAnsi="Arial"/>
      <w:b/>
      <w:sz w:val="20"/>
      <w:szCs w:val="20"/>
    </w:rPr>
  </w:style>
  <w:style w:styleId="style6" w:type="paragraph">
    <w:name w:val="Nagłówek 6"/>
    <w:basedOn w:val="style0"/>
    <w:next w:val="style6"/>
    <w:pPr>
      <w:keepNext/>
      <w:spacing w:line="360" w:lineRule="auto"/>
      <w:jc w:val="both"/>
    </w:pPr>
    <w:rPr>
      <w:rFonts w:ascii="Garamond" w:cs="Arial Unicode MS" w:eastAsia="Arial Unicode MS" w:hAnsi="Garamond"/>
      <w:b/>
      <w:color w:val="000000"/>
    </w:rPr>
  </w:style>
  <w:style w:styleId="style7" w:type="paragraph">
    <w:name w:val="Nagłówek 7"/>
    <w:basedOn w:val="style0"/>
    <w:next w:val="style7"/>
    <w:pPr>
      <w:keepNext/>
      <w:jc w:val="both"/>
    </w:pPr>
    <w:rPr>
      <w:rFonts w:ascii="Garamond" w:hAnsi="Garamond"/>
      <w:b/>
      <w:bCs/>
      <w:color w:val="0000FF"/>
    </w:rPr>
  </w:style>
  <w:style w:styleId="style8" w:type="paragraph">
    <w:name w:val="Nagłówek 8"/>
    <w:basedOn w:val="style0"/>
    <w:next w:val="style8"/>
    <w:pPr>
      <w:keepNext/>
      <w:tabs>
        <w:tab w:leader="underscore" w:pos="9924" w:val="right"/>
      </w:tabs>
      <w:spacing w:after="120" w:before="120"/>
      <w:ind w:hanging="0" w:left="426" w:right="0"/>
      <w:contextualSpacing w:val="false"/>
      <w:jc w:val="center"/>
    </w:pPr>
    <w:rPr>
      <w:rFonts w:ascii="Book Antiqua" w:hAnsi="Book Antiqua"/>
      <w:b/>
      <w:bCs/>
    </w:rPr>
  </w:style>
  <w:style w:styleId="style9" w:type="paragraph">
    <w:name w:val="Nagłówek 9"/>
    <w:basedOn w:val="style0"/>
    <w:next w:val="style9"/>
    <w:pPr>
      <w:spacing w:after="60" w:before="240"/>
      <w:contextualSpacing w:val="false"/>
    </w:pPr>
    <w:rPr>
      <w:rFonts w:ascii="Arial" w:cs="Arial" w:hAnsi="Arial"/>
      <w:sz w:val="22"/>
      <w:szCs w:val="22"/>
    </w:rPr>
  </w:style>
  <w:style w:styleId="style15" w:type="character">
    <w:name w:val="Default Paragraph Font"/>
    <w:next w:val="style15"/>
    <w:rPr/>
  </w:style>
  <w:style w:styleId="style16" w:type="character">
    <w:name w:val="Łącze internetowe"/>
    <w:basedOn w:val="style15"/>
    <w:next w:val="style16"/>
    <w:rPr>
      <w:color w:val="0000FF"/>
      <w:u w:val="single"/>
      <w:lang w:bidi="zxx-" w:eastAsia="zxx-" w:val="zxx-"/>
    </w:rPr>
  </w:style>
  <w:style w:styleId="style17" w:type="character">
    <w:name w:val="page number"/>
    <w:basedOn w:val="style15"/>
    <w:next w:val="style17"/>
    <w:rPr/>
  </w:style>
  <w:style w:styleId="style18" w:type="character">
    <w:name w:val="Tekst dymka Znak"/>
    <w:basedOn w:val="style15"/>
    <w:next w:val="style18"/>
    <w:rPr>
      <w:rFonts w:ascii="Lucida Grande CE" w:cs="Lucida Grande CE" w:hAnsi="Lucida Grande CE"/>
      <w:sz w:val="18"/>
      <w:szCs w:val="18"/>
    </w:rPr>
  </w:style>
  <w:style w:styleId="style19" w:type="character">
    <w:name w:val="ListLabel 1"/>
    <w:next w:val="style19"/>
    <w:rPr>
      <w:b/>
    </w:rPr>
  </w:style>
  <w:style w:styleId="style20" w:type="character">
    <w:name w:val="ListLabel 2"/>
    <w:next w:val="style20"/>
    <w:rPr>
      <w:rFonts w:cs="Times New Roman"/>
      <w:b/>
    </w:rPr>
  </w:style>
  <w:style w:styleId="style21" w:type="character">
    <w:name w:val="ListLabel 3"/>
    <w:next w:val="style21"/>
    <w:rPr>
      <w:rFonts w:cs="Times New Roman" w:eastAsia="Times New Roman"/>
    </w:rPr>
  </w:style>
  <w:style w:styleId="style22" w:type="character">
    <w:name w:val="ListLabel 4"/>
    <w:next w:val="style22"/>
    <w:rPr>
      <w:rFonts w:cs="Tahoma" w:eastAsia="Times New Roman"/>
      <w:color w:val="000000"/>
    </w:rPr>
  </w:style>
  <w:style w:styleId="style23" w:type="character">
    <w:name w:val="ListLabel 5"/>
    <w:next w:val="style23"/>
    <w:rPr>
      <w:b w:val="false"/>
    </w:rPr>
  </w:style>
  <w:style w:styleId="style24" w:type="character">
    <w:name w:val="ListLabel 6"/>
    <w:next w:val="style24"/>
    <w:rPr>
      <w:rFonts w:cs="Courier New"/>
    </w:rPr>
  </w:style>
  <w:style w:styleId="style25" w:type="character">
    <w:name w:val="ListLabel 7"/>
    <w:next w:val="style25"/>
    <w:rPr>
      <w:b/>
    </w:rPr>
  </w:style>
  <w:style w:styleId="style26" w:type="character">
    <w:name w:val="ListLabel 8"/>
    <w:next w:val="style26"/>
    <w:rPr>
      <w:rFonts w:cs="Symbol"/>
    </w:rPr>
  </w:style>
  <w:style w:styleId="style27" w:type="character">
    <w:name w:val="ListLabel 9"/>
    <w:next w:val="style27"/>
    <w:rPr>
      <w:rFonts w:cs="Times New Roman"/>
      <w:b/>
    </w:rPr>
  </w:style>
  <w:style w:styleId="style28" w:type="character">
    <w:name w:val="ListLabel 10"/>
    <w:next w:val="style28"/>
    <w:rPr>
      <w:rFonts w:cs="Times New Roman"/>
    </w:rPr>
  </w:style>
  <w:style w:styleId="style29" w:type="character">
    <w:name w:val="ListLabel 11"/>
    <w:next w:val="style29"/>
    <w:rPr>
      <w:rFonts w:cs="Courier New"/>
    </w:rPr>
  </w:style>
  <w:style w:styleId="style30" w:type="character">
    <w:name w:val="ListLabel 12"/>
    <w:next w:val="style30"/>
    <w:rPr>
      <w:rFonts w:cs="Wingdings"/>
    </w:rPr>
  </w:style>
  <w:style w:styleId="style31" w:type="character">
    <w:name w:val="ListLabel 13"/>
    <w:next w:val="style31"/>
    <w:rPr>
      <w:color w:val="000000"/>
    </w:rPr>
  </w:style>
  <w:style w:styleId="style32" w:type="character">
    <w:name w:val="ListLabel 14"/>
    <w:next w:val="style32"/>
    <w:rPr>
      <w:rFonts w:cs="Symbol"/>
      <w:b w:val="false"/>
    </w:rPr>
  </w:style>
  <w:style w:styleId="style33" w:type="paragraph">
    <w:name w:val="Nagłówek"/>
    <w:basedOn w:val="style0"/>
    <w:next w:val="style34"/>
    <w:pPr>
      <w:keepNext/>
      <w:spacing w:after="120" w:before="240"/>
      <w:contextualSpacing w:val="false"/>
    </w:pPr>
    <w:rPr>
      <w:rFonts w:ascii="Arial" w:cs="Mangal" w:eastAsia="Microsoft YaHei" w:hAnsi="Arial"/>
      <w:sz w:val="28"/>
      <w:szCs w:val="28"/>
    </w:rPr>
  </w:style>
  <w:style w:styleId="style34" w:type="paragraph">
    <w:name w:val="Tekst"/>
    <w:basedOn w:val="style0"/>
    <w:next w:val="style34"/>
    <w:pPr>
      <w:spacing w:after="120" w:before="0"/>
      <w:contextualSpacing w:val="false"/>
      <w:jc w:val="both"/>
    </w:pPr>
    <w:rPr>
      <w:rFonts w:ascii="Arial" w:hAnsi="Arial"/>
      <w:b/>
      <w:sz w:val="20"/>
      <w:szCs w:val="20"/>
    </w:rPr>
  </w:style>
  <w:style w:styleId="style35" w:type="paragraph">
    <w:name w:val="Lista"/>
    <w:basedOn w:val="style34"/>
    <w:next w:val="style35"/>
    <w:pPr/>
    <w:rPr>
      <w:rFonts w:cs="Mangal"/>
    </w:rPr>
  </w:style>
  <w:style w:styleId="style36" w:type="paragraph">
    <w:name w:val="Podpis"/>
    <w:basedOn w:val="style0"/>
    <w:next w:val="style36"/>
    <w:pPr>
      <w:suppressLineNumbers/>
      <w:spacing w:after="120" w:before="120"/>
      <w:contextualSpacing w:val="false"/>
    </w:pPr>
    <w:rPr>
      <w:rFonts w:cs="Mangal"/>
      <w:i/>
      <w:iCs/>
      <w:sz w:val="24"/>
      <w:szCs w:val="24"/>
    </w:rPr>
  </w:style>
  <w:style w:styleId="style37" w:type="paragraph">
    <w:name w:val="Indeks"/>
    <w:basedOn w:val="style0"/>
    <w:next w:val="style37"/>
    <w:pPr>
      <w:suppressLineNumbers/>
    </w:pPr>
    <w:rPr>
      <w:rFonts w:cs="Mangal"/>
    </w:rPr>
  </w:style>
  <w:style w:styleId="style38" w:type="paragraph">
    <w:name w:val="Wysunięcie tekstu"/>
    <w:basedOn w:val="style0"/>
    <w:next w:val="style38"/>
    <w:pPr>
      <w:ind w:hanging="180" w:left="360" w:right="0"/>
      <w:jc w:val="both"/>
    </w:pPr>
    <w:rPr>
      <w:rFonts w:ascii="Garamond" w:hAnsi="Garamond"/>
    </w:rPr>
  </w:style>
  <w:style w:styleId="style39" w:type="paragraph">
    <w:name w:val="Główka"/>
    <w:basedOn w:val="style0"/>
    <w:next w:val="style39"/>
    <w:pPr>
      <w:tabs>
        <w:tab w:leader="none" w:pos="4536" w:val="center"/>
        <w:tab w:leader="none" w:pos="9072" w:val="right"/>
      </w:tabs>
    </w:pPr>
    <w:rPr/>
  </w:style>
  <w:style w:styleId="style40" w:type="paragraph">
    <w:name w:val="Body Text Indent 2"/>
    <w:basedOn w:val="style0"/>
    <w:next w:val="style40"/>
    <w:pPr>
      <w:spacing w:line="360" w:lineRule="auto"/>
      <w:ind w:hanging="0" w:left="360" w:right="0"/>
      <w:jc w:val="both"/>
    </w:pPr>
    <w:rPr>
      <w:rFonts w:ascii="Garamond" w:hAnsi="Garamond"/>
      <w:b/>
      <w:bCs/>
      <w:color w:val="000000"/>
    </w:rPr>
  </w:style>
  <w:style w:styleId="style41" w:type="paragraph">
    <w:name w:val="Body Text 2"/>
    <w:basedOn w:val="style0"/>
    <w:next w:val="style41"/>
    <w:pPr/>
    <w:rPr>
      <w:rFonts w:ascii="Garamond" w:hAnsi="Garamond"/>
      <w:b/>
    </w:rPr>
  </w:style>
  <w:style w:styleId="style42" w:type="paragraph">
    <w:name w:val="Body Text 3"/>
    <w:basedOn w:val="style0"/>
    <w:next w:val="style42"/>
    <w:pPr>
      <w:jc w:val="both"/>
    </w:pPr>
    <w:rPr>
      <w:rFonts w:ascii="Arial" w:hAnsi="Arial"/>
      <w:b/>
      <w:color w:val="FF0000"/>
      <w:sz w:val="20"/>
      <w:szCs w:val="20"/>
    </w:rPr>
  </w:style>
  <w:style w:styleId="style43" w:type="paragraph">
    <w:name w:val="pkt"/>
    <w:basedOn w:val="style0"/>
    <w:next w:val="style43"/>
    <w:pPr>
      <w:spacing w:after="60" w:before="60"/>
      <w:ind w:hanging="295" w:left="851" w:right="0"/>
      <w:contextualSpacing w:val="false"/>
      <w:jc w:val="both"/>
    </w:pPr>
    <w:rPr/>
  </w:style>
  <w:style w:styleId="style44" w:type="paragraph">
    <w:name w:val="Tytuł"/>
    <w:basedOn w:val="style0"/>
    <w:next w:val="style44"/>
    <w:pPr>
      <w:widowControl w:val="false"/>
      <w:tabs>
        <w:tab w:leader="none" w:pos="142" w:val="left"/>
      </w:tabs>
      <w:ind w:hanging="284" w:left="0" w:right="0"/>
      <w:jc w:val="center"/>
    </w:pPr>
    <w:rPr>
      <w:rFonts w:ascii="Arial" w:cs="Arial" w:hAnsi="Arial"/>
      <w:b/>
      <w:bCs/>
      <w:sz w:val="20"/>
      <w:szCs w:val="20"/>
    </w:rPr>
  </w:style>
  <w:style w:styleId="style45" w:type="paragraph">
    <w:name w:val="Body Text Indent 3"/>
    <w:basedOn w:val="style0"/>
    <w:next w:val="style45"/>
    <w:pPr>
      <w:tabs>
        <w:tab w:leader="none" w:pos="1080" w:val="left"/>
      </w:tabs>
      <w:ind w:hanging="360" w:left="360" w:right="0"/>
      <w:jc w:val="both"/>
    </w:pPr>
    <w:rPr>
      <w:rFonts w:ascii="Arial Narrow" w:hAnsi="Arial Narrow"/>
      <w:sz w:val="20"/>
    </w:rPr>
  </w:style>
  <w:style w:styleId="style46" w:type="paragraph">
    <w:name w:val="Stopka"/>
    <w:basedOn w:val="style0"/>
    <w:next w:val="style46"/>
    <w:pPr>
      <w:tabs>
        <w:tab w:leader="none" w:pos="4536" w:val="center"/>
        <w:tab w:leader="none" w:pos="9072" w:val="right"/>
      </w:tabs>
    </w:pPr>
    <w:rPr/>
  </w:style>
  <w:style w:styleId="style47" w:type="paragraph">
    <w:name w:val="CM27"/>
    <w:basedOn w:val="style0"/>
    <w:next w:val="style47"/>
    <w:pPr>
      <w:widowControl w:val="false"/>
      <w:spacing w:after="840" w:before="0"/>
      <w:contextualSpacing w:val="false"/>
    </w:pPr>
    <w:rPr/>
  </w:style>
  <w:style w:styleId="style48" w:type="paragraph">
    <w:name w:val="List Paragraph"/>
    <w:basedOn w:val="style0"/>
    <w:next w:val="style48"/>
    <w:pPr>
      <w:spacing w:after="0" w:before="0"/>
      <w:ind w:hanging="0" w:left="720" w:right="0"/>
      <w:contextualSpacing/>
    </w:pPr>
    <w:rPr/>
  </w:style>
  <w:style w:styleId="style49" w:type="paragraph">
    <w:name w:val="Balloon Text"/>
    <w:basedOn w:val="style0"/>
    <w:next w:val="style49"/>
    <w:pPr/>
    <w:rPr>
      <w:rFonts w:ascii="Lucida Grande CE" w:cs="Lucida Grande CE" w:hAnsi="Lucida Grande CE"/>
      <w:sz w:val="18"/>
      <w:szCs w:val="18"/>
    </w:rPr>
  </w:style>
  <w:style w:styleId="style50" w:type="paragraph">
    <w:name w:val="Zawartość ramki"/>
    <w:basedOn w:val="style34"/>
    <w:next w:val="style5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npn@npn.pl" TargetMode="External"/><Relationship Id="rId3" Type="http://schemas.openxmlformats.org/officeDocument/2006/relationships/image" Target="media/image1.jpeg"/><Relationship Id="rId4" Type="http://schemas.openxmlformats.org/officeDocument/2006/relationships/image" Target="media/image2.jpeg"/><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7</TotalTime>
  <Application>Microsoft Office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2013-07-02T08:08:00.00Z</dcterms:created>
  <dc:creator>bezubik</dc:creator>
  <cp:lastModifiedBy>Marzenna</cp:lastModifiedBy>
  <cp:lastPrinted>2013-06-12T09:44:00.00Z</cp:lastPrinted>
  <dcterms:modified xsi:type="dcterms:W3CDTF">2013-07-02T08:52:00.00Z</dcterms:modified>
  <cp:revision>4</cp:revision>
  <dc:title>Białystok 2006</dc:title>
</cp:coreProperties>
</file>